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43E" w:rsidRPr="00BC1446" w:rsidRDefault="00D0043E" w:rsidP="00516561">
      <w:pPr>
        <w:pStyle w:val="01-PRESSRELEASE"/>
        <w:rPr>
          <w:b w:val="0"/>
          <w:szCs w:val="24"/>
        </w:rPr>
      </w:pPr>
      <w:r w:rsidRPr="00516561">
        <w:t>ПРЕССЪОБЩЕНИЕ</w:t>
      </w:r>
    </w:p>
    <w:p w:rsidR="00516561" w:rsidRPr="00516561" w:rsidRDefault="00813BF9" w:rsidP="00516561">
      <w:pPr>
        <w:pStyle w:val="02-DATE"/>
      </w:pPr>
      <w:r>
        <w:t>17 март 2025</w:t>
      </w:r>
      <w:bookmarkStart w:id="0" w:name="_GoBack"/>
      <w:bookmarkEnd w:id="0"/>
      <w:r w:rsidR="00516561" w:rsidRPr="00516561">
        <w:t xml:space="preserve"> г.</w:t>
      </w:r>
    </w:p>
    <w:p w:rsidR="00D0043E" w:rsidRPr="00516561" w:rsidRDefault="00D0043E" w:rsidP="00516561">
      <w:pPr>
        <w:pStyle w:val="04-TEXTFIRST"/>
      </w:pPr>
      <w:r w:rsidRPr="00516561">
        <w:t xml:space="preserve">Управителният съвет на БНБ определи нивото на </w:t>
      </w:r>
      <w:proofErr w:type="spellStart"/>
      <w:r w:rsidRPr="00516561">
        <w:t>антицикличния</w:t>
      </w:r>
      <w:proofErr w:type="spellEnd"/>
      <w:r w:rsidRPr="00516561">
        <w:t xml:space="preserve"> капиталов буфер, приложим към кредитни рискови експозиции в Република България, на 2.0% през второто тримесечие на 2026 г., на основата на оценка по чл. 5, ал. 3 и ал. 4 от Наредба № 8 на БНБ за капиталовите буфери, комбинираното изискване за буфер, ограниченията върху разпределенията и препоръката за допълнителен собствен капитал. </w:t>
      </w:r>
    </w:p>
    <w:p w:rsidR="00D0043E" w:rsidRPr="00516561" w:rsidRDefault="00D0043E" w:rsidP="00516561">
      <w:pPr>
        <w:pStyle w:val="04-TEXTFIRST"/>
      </w:pPr>
      <w:r w:rsidRPr="00516561">
        <w:t xml:space="preserve">Съгласно чл. 5, ал. 3 от Наредба № 8 на БНБ, при оценката за нивото на </w:t>
      </w:r>
      <w:proofErr w:type="spellStart"/>
      <w:r w:rsidRPr="00516561">
        <w:t>антицикличния</w:t>
      </w:r>
      <w:proofErr w:type="spellEnd"/>
      <w:r w:rsidRPr="00516561">
        <w:t xml:space="preserve"> буфер се отчитат както референтният индикатор по чл. 5, ал. 1, така и съответните насоки на Европейския съвет за системен риск (ЕССР) и други показатели, които БНБ е преценила за подходящи за отразяване на цикличния системен риск. Към края на четвъртото тримесечие на 2024 г. съотношението кредит/БВП, изчислено според публикуваната на интернет страницата на Българската народна банка методология, възлиза на 77.1%. Отклонението на показателя от дългосрочния тренд е отрицателно (-22.9 процентни пункта), което съответства на нулева стойност на референтния индикатор за </w:t>
      </w:r>
      <w:proofErr w:type="spellStart"/>
      <w:r w:rsidRPr="00516561">
        <w:t>антицикличния</w:t>
      </w:r>
      <w:proofErr w:type="spellEnd"/>
      <w:r w:rsidRPr="00516561">
        <w:t xml:space="preserve"> буфер.</w:t>
      </w:r>
    </w:p>
    <w:p w:rsidR="00D0043E" w:rsidRPr="00516561" w:rsidRDefault="00D0043E" w:rsidP="00516561">
      <w:pPr>
        <w:pStyle w:val="04-TEXTFIRST"/>
      </w:pPr>
      <w:r w:rsidRPr="00516561">
        <w:t xml:space="preserve">Тъй като стандартният показател за отклонението на съотношението кредит/БВП от дългосрочния тренд не отразява адекватно тенденциите в цикличните рискове, при оценката за нивото на </w:t>
      </w:r>
      <w:proofErr w:type="spellStart"/>
      <w:r w:rsidRPr="00516561">
        <w:t>антицикличния</w:t>
      </w:r>
      <w:proofErr w:type="spellEnd"/>
      <w:r w:rsidRPr="00516561">
        <w:t xml:space="preserve"> буфер се вземат под внимание и допълнителни индикатори, фокусирани върху кредитния пазар, задлъжнялостта, пазара на недвижими имоти, както и общото състояние на икономическата среда.</w:t>
      </w:r>
    </w:p>
    <w:p w:rsidR="00D0043E" w:rsidRPr="00516561" w:rsidRDefault="00D0043E" w:rsidP="00516561">
      <w:pPr>
        <w:pStyle w:val="04-TEXTFIRST"/>
      </w:pPr>
      <w:r w:rsidRPr="00516561">
        <w:t xml:space="preserve">Кредитната активност в частния сектор се запазва висока. Силни темпове на растеж продължават да се наблюдава в сегмента на домакинствата, като през четвъртото тримесечие и при сегмента на нефинансовите предприятия се отчита по-значително увеличение в сравнение с предходните тримесечия. Продължителните периоди на завишена кредитна активност създават предпоставки за потенциално акумулиране на средносрочни рискове в баланса на банковата система и увеличение на задлъжнялостта. С цел отразяване на потенциални средносрочни рискове, произтичащи от кредитната динамика в сегмента на жилищните кредити, БНБ въведе изисквания за показателите за обезпеченост (LTV), способност за обслужване на задълженията (DSTI) и </w:t>
      </w:r>
      <w:proofErr w:type="spellStart"/>
      <w:r w:rsidRPr="00516561">
        <w:t>матуритет</w:t>
      </w:r>
      <w:proofErr w:type="spellEnd"/>
      <w:r w:rsidRPr="00516561">
        <w:t xml:space="preserve"> при отпускане и предоговаряне на кредити, обезпечени с жилищни недвижими имоти. Мярката е в сила, считано от 1 октомври 2024 г. и е насочена към засилване кредитоспособността на кредитополучателите от този сегмент и устойчивостта на банковата система. Тя е обект на регулярно </w:t>
      </w:r>
      <w:proofErr w:type="spellStart"/>
      <w:r w:rsidRPr="00516561">
        <w:t>макропруденциално</w:t>
      </w:r>
      <w:proofErr w:type="spellEnd"/>
      <w:r w:rsidRPr="00516561">
        <w:t xml:space="preserve"> </w:t>
      </w:r>
      <w:r w:rsidRPr="00516561">
        <w:lastRenderedPageBreak/>
        <w:t xml:space="preserve">наблюдение и анализ като част от действието на цялостния надзорен инструментариум (включително </w:t>
      </w:r>
      <w:proofErr w:type="spellStart"/>
      <w:r w:rsidRPr="00516561">
        <w:t>антицикличния</w:t>
      </w:r>
      <w:proofErr w:type="spellEnd"/>
      <w:r w:rsidRPr="00516561">
        <w:t xml:space="preserve"> буфер). Изискването за </w:t>
      </w:r>
      <w:proofErr w:type="spellStart"/>
      <w:r w:rsidRPr="00516561">
        <w:t>антицикличен</w:t>
      </w:r>
      <w:proofErr w:type="spellEnd"/>
      <w:r w:rsidRPr="00516561">
        <w:t xml:space="preserve"> капиталов буфер от 2% в сила от второто тримесечие на 2026 г. има за цел да съхрани устойчивостта </w:t>
      </w:r>
      <w:r w:rsidR="00F41F5E" w:rsidRPr="00516561">
        <w:t xml:space="preserve">на банковата система </w:t>
      </w:r>
      <w:r w:rsidRPr="00516561">
        <w:t xml:space="preserve">срещу потенциални бъдещи загуби, за които интензивният кредитен растеж би могъл да допринесе. Поддържането на </w:t>
      </w:r>
      <w:proofErr w:type="spellStart"/>
      <w:r w:rsidRPr="00516561">
        <w:t>антицикличен</w:t>
      </w:r>
      <w:proofErr w:type="spellEnd"/>
      <w:r w:rsidRPr="00516561">
        <w:t xml:space="preserve"> капиталов буфер е в подкрепа на солидната капиталова позиция на банковата система и затвърждава стабилността й към натиск върху доходността и капиталовата позиция, предизвикан от потенциално нарастване на необслужваните кредити и обезценките.</w:t>
      </w:r>
    </w:p>
    <w:p w:rsidR="00D0043E" w:rsidRPr="00B16909" w:rsidRDefault="00D0043E" w:rsidP="00516561">
      <w:pPr>
        <w:pStyle w:val="04-TEXTFIRST"/>
      </w:pPr>
      <w:r w:rsidRPr="00B16909">
        <w:t xml:space="preserve">Допълнителна информация за използваната методология и предишните решения за </w:t>
      </w:r>
      <w:proofErr w:type="spellStart"/>
      <w:r w:rsidRPr="00B16909">
        <w:t>антицикличния</w:t>
      </w:r>
      <w:proofErr w:type="spellEnd"/>
      <w:r w:rsidRPr="00B16909">
        <w:t xml:space="preserve"> капиталов буфер може да се намери в раздел „</w:t>
      </w:r>
      <w:hyperlink r:id="rId6" w:history="1">
        <w:r w:rsidRPr="00516561">
          <w:rPr>
            <w:rStyle w:val="Hyperlink"/>
            <w:rFonts w:cs="Arial"/>
            <w:color w:val="ED7D31" w:themeColor="accent2"/>
          </w:rPr>
          <w:t>Капиталови буфери</w:t>
        </w:r>
      </w:hyperlink>
      <w:r w:rsidRPr="00B16909">
        <w:t>“.</w:t>
      </w:r>
    </w:p>
    <w:p w:rsidR="00981750" w:rsidRDefault="00981750"/>
    <w:sectPr w:rsidR="00981750" w:rsidSect="00B03C08">
      <w:headerReference w:type="default" r:id="rId7"/>
      <w:headerReference w:type="first" r:id="rId8"/>
      <w:pgSz w:w="12240" w:h="15840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561" w:rsidRDefault="00516561" w:rsidP="00516561">
      <w:pPr>
        <w:spacing w:before="0" w:line="240" w:lineRule="auto"/>
      </w:pPr>
      <w:r>
        <w:separator/>
      </w:r>
    </w:p>
  </w:endnote>
  <w:endnote w:type="continuationSeparator" w:id="0">
    <w:p w:rsidR="00516561" w:rsidRDefault="00516561" w:rsidP="00516561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561" w:rsidRDefault="00516561" w:rsidP="00516561">
      <w:pPr>
        <w:spacing w:before="0" w:line="240" w:lineRule="auto"/>
      </w:pPr>
      <w:r>
        <w:separator/>
      </w:r>
    </w:p>
  </w:footnote>
  <w:footnote w:type="continuationSeparator" w:id="0">
    <w:p w:rsidR="00516561" w:rsidRDefault="00516561" w:rsidP="00516561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6561" w:rsidRDefault="00516561" w:rsidP="00516561">
    <w:pPr>
      <w:pStyle w:val="Header"/>
      <w:ind w:firstLine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C08" w:rsidRDefault="00B03C08">
    <w:pPr>
      <w:pStyle w:val="Header"/>
    </w:pPr>
    <w:r w:rsidRPr="00B03C08">
      <w:rPr>
        <w:noProof/>
      </w:rPr>
      <w:t xml:space="preserve"> </w:t>
    </w:r>
    <w:r>
      <w:rPr>
        <w:noProof/>
      </w:rPr>
      <w:drawing>
        <wp:inline distT="0" distB="0" distL="0" distR="0" wp14:anchorId="5411181F" wp14:editId="2ED73E85">
          <wp:extent cx="5972810" cy="1051560"/>
          <wp:effectExtent l="0" t="0" r="889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NB_logo_PR_2018_B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2810" cy="105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5A0"/>
    <w:rsid w:val="002208E9"/>
    <w:rsid w:val="00516561"/>
    <w:rsid w:val="007A55A0"/>
    <w:rsid w:val="00813BF9"/>
    <w:rsid w:val="00981750"/>
    <w:rsid w:val="00B03C08"/>
    <w:rsid w:val="00B16909"/>
    <w:rsid w:val="00D0043E"/>
    <w:rsid w:val="00F4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C46B5AFA-6CF5-46E0-A605-A67F579AD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043E"/>
    <w:pPr>
      <w:spacing w:before="120"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043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16561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6561"/>
    <w:rPr>
      <w:rFonts w:ascii="Times New Roman" w:eastAsia="Times New Roman" w:hAnsi="Times New Roman" w:cs="Times New Roman"/>
      <w:sz w:val="24"/>
      <w:szCs w:val="20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516561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561"/>
    <w:rPr>
      <w:rFonts w:ascii="Times New Roman" w:eastAsia="Times New Roman" w:hAnsi="Times New Roman" w:cs="Times New Roman"/>
      <w:sz w:val="24"/>
      <w:szCs w:val="20"/>
      <w:lang w:val="bg-BG" w:eastAsia="bg-BG"/>
    </w:rPr>
  </w:style>
  <w:style w:type="paragraph" w:customStyle="1" w:styleId="02-DATE">
    <w:name w:val="02-DATE"/>
    <w:next w:val="Normal"/>
    <w:rsid w:val="00516561"/>
    <w:pPr>
      <w:spacing w:after="0" w:line="360" w:lineRule="auto"/>
      <w:jc w:val="right"/>
    </w:pPr>
    <w:rPr>
      <w:rFonts w:ascii="Arial" w:eastAsia="Times New Roman" w:hAnsi="Arial" w:cs="Times New Roman"/>
      <w:b/>
      <w:sz w:val="20"/>
      <w:szCs w:val="20"/>
      <w:lang w:val="bg-BG"/>
    </w:rPr>
  </w:style>
  <w:style w:type="paragraph" w:customStyle="1" w:styleId="01-PRESSRELEASE">
    <w:name w:val="01-PRESSRELEASE"/>
    <w:next w:val="02-DATE"/>
    <w:rsid w:val="00516561"/>
    <w:pPr>
      <w:spacing w:before="400" w:after="0" w:line="360" w:lineRule="auto"/>
      <w:jc w:val="center"/>
    </w:pPr>
    <w:rPr>
      <w:rFonts w:ascii="Arial" w:eastAsia="Times New Roman" w:hAnsi="Arial" w:cs="Times New Roman"/>
      <w:b/>
      <w:sz w:val="20"/>
      <w:szCs w:val="20"/>
      <w:lang w:val="bg-BG"/>
    </w:rPr>
  </w:style>
  <w:style w:type="paragraph" w:customStyle="1" w:styleId="04-TEXTFIRST">
    <w:name w:val="04-TEXT FIRST"/>
    <w:basedOn w:val="Normal"/>
    <w:rsid w:val="00516561"/>
    <w:pPr>
      <w:spacing w:before="200"/>
      <w:ind w:firstLine="227"/>
    </w:pPr>
    <w:rPr>
      <w:rFonts w:ascii="Arial" w:hAnsi="Arial"/>
      <w:sz w:val="2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nb.bg/BankSupervision/BSCapitalBuffers/BSCBCountercyclical/index.ht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503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 Цекова</dc:creator>
  <cp:keywords/>
  <dc:description/>
  <cp:lastModifiedBy>Биляна Борисова</cp:lastModifiedBy>
  <cp:revision>8</cp:revision>
  <dcterms:created xsi:type="dcterms:W3CDTF">2025-03-10T09:26:00Z</dcterms:created>
  <dcterms:modified xsi:type="dcterms:W3CDTF">2025-06-19T12:34:00Z</dcterms:modified>
</cp:coreProperties>
</file>