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4D4E" w:rsidRPr="00C27EBC" w:rsidRDefault="00B34D4E" w:rsidP="00B34D4E">
      <w:pPr>
        <w:pStyle w:val="01-PRESSRELEASE"/>
      </w:pPr>
      <w:r w:rsidRPr="00C27EBC">
        <w:t>ПРЕССЪОБЩЕНИЕ</w:t>
      </w:r>
    </w:p>
    <w:p w:rsidR="00B34D4E" w:rsidRPr="00B34D4E" w:rsidRDefault="00B34D4E" w:rsidP="00B34D4E">
      <w:pPr>
        <w:pStyle w:val="02-DATE"/>
      </w:pPr>
      <w:r>
        <w:rPr>
          <w:lang w:val="en-US"/>
        </w:rPr>
        <w:t>28</w:t>
      </w:r>
      <w:r w:rsidR="002A6223">
        <w:t xml:space="preserve"> март </w:t>
      </w:r>
      <w:bookmarkStart w:id="0" w:name="_GoBack"/>
      <w:bookmarkEnd w:id="0"/>
      <w:r>
        <w:rPr>
          <w:lang w:val="en-US"/>
        </w:rPr>
        <w:t xml:space="preserve">2024 </w:t>
      </w:r>
      <w:r>
        <w:t>г.</w:t>
      </w:r>
    </w:p>
    <w:p w:rsidR="00150D0D" w:rsidRDefault="00150D0D" w:rsidP="00B34D4E">
      <w:pPr>
        <w:pStyle w:val="04-TEXTFIRST"/>
      </w:pPr>
      <w:r>
        <w:t xml:space="preserve">Управителният съвет на БНБ определи нивото на </w:t>
      </w:r>
      <w:proofErr w:type="spellStart"/>
      <w:r>
        <w:t>антицикличния</w:t>
      </w:r>
      <w:proofErr w:type="spellEnd"/>
      <w:r>
        <w:t xml:space="preserve"> капиталов буфер, приложим към кредитни рискови експозиции в Република България, на 2.0% през второто тримесечие на 2025 г., на основата на оценка по чл. 5, ал. 3 и ал. 4 от Наредба № 8 на БНБ за капиталовите буфери, комбинираното изискване за буфер, ограниченията върху разпределенията и препоръката за допълнителен собствен капитал. </w:t>
      </w:r>
    </w:p>
    <w:p w:rsidR="00150D0D" w:rsidRDefault="00150D0D" w:rsidP="00563A90">
      <w:pPr>
        <w:pStyle w:val="05-TEXT"/>
      </w:pPr>
      <w:r>
        <w:t xml:space="preserve">Съгласно чл. 5, ал. 3 от Наредба № 8 на БНБ, при оценката за нивото на </w:t>
      </w:r>
      <w:proofErr w:type="spellStart"/>
      <w:r>
        <w:t>антицикличния</w:t>
      </w:r>
      <w:proofErr w:type="spellEnd"/>
      <w:r>
        <w:t xml:space="preserve"> буфер се отчитат както референтният индикатор по чл. 5, ал. 1, така и съответните насоки на Европейския съвет за системен риск (ЕССР) и други показатели, които БНБ е преценила за подходящи за отразяване на цикличния системен риск. По отношение на данните, свързани с референтния индикатор, към края на четвъртото тримесечие на 2023 г. съотношението кредит/БВП, изчислено според публикуваната на интернет страницата на Българската народна банка методология, възлиза на 77.1%. Отклонението на показателя от дългосрочния тренд е отрицателно (-30.6 процентни пункта), което съответства на нулева стойност на референтния индикатор за </w:t>
      </w:r>
      <w:proofErr w:type="spellStart"/>
      <w:r>
        <w:t>антицикличния</w:t>
      </w:r>
      <w:proofErr w:type="spellEnd"/>
      <w:r>
        <w:t xml:space="preserve"> буфер.</w:t>
      </w:r>
    </w:p>
    <w:p w:rsidR="00150D0D" w:rsidRDefault="00150D0D" w:rsidP="00563A90">
      <w:pPr>
        <w:pStyle w:val="05-TEXT"/>
      </w:pPr>
      <w:r>
        <w:t xml:space="preserve">Тъй като стандартният показател за отклонението на съотношението кредит/БВП от дългосрочния тренд не отразява адекватно тенденциите в цикличните рискове, при оценката за нивото на </w:t>
      </w:r>
      <w:proofErr w:type="spellStart"/>
      <w:r>
        <w:t>антицикличния</w:t>
      </w:r>
      <w:proofErr w:type="spellEnd"/>
      <w:r>
        <w:t xml:space="preserve"> буфер се вземат под внимание и допълнителни индикатори, фокусирани върху кредитния пазар, задлъжнялостта, пазара на недвижими имоти, както и общото състояние на икономическата среда.</w:t>
      </w:r>
    </w:p>
    <w:p w:rsidR="00150D0D" w:rsidRDefault="00150D0D" w:rsidP="00563A90">
      <w:pPr>
        <w:pStyle w:val="05-TEXT"/>
      </w:pPr>
      <w:r>
        <w:t xml:space="preserve">Кредитната активност в сектора на домакинствата се запазва висока, особено в сегмента на жилищните кредити, като засиленото им предлагане от страна на кредитните институции допълнително стимулира кредитното търсене. Продължителните периоди на висока кредитна активност създават предпоставки за увеличение на задлъжнялостта и акумулиране на кредитен риск в баланса на банковата система, което може да доведе до нарастване на необслужваните кредити и на разходите за обезценки при неблагоприятни тенденции в икономическата среда. През следващите месеци се очаква затягането на монетарните условия в еврозоната да се пренесе с лаг върху лихвените проценти в страната, макар и само частично предвид изгледите за предстоящо обръщане на глобалния лихвен цикъл. Влияние за повишение на лихвените нива се очаква да окаже и започнатият процес на увеличение на минималните задължителни резерви, който БНБ предприе от средата на 2023 г. Въпреки че това би смекчило ефектите, които високият кредитен растеж създава по отношение на задлъжнялостта и акумулирането на кредитен риск в баланса на банковата система, в краткосрочен план вероятността за материализация на кредитния риск остава значителна. Предвид несигурността в икономическата среда, колебанията на цените на суровините и рисковете от забавяне в темповете на външното търсене, способността за обслужване на задълженията може да отслабне, което да доведе до нарастване на необслужваните кредити и на разходите за обезценки. Във връзка с това кредитните институции следва да поддържат кредитни стандарти (LTV, LTI, DSTI и </w:t>
      </w:r>
      <w:r>
        <w:lastRenderedPageBreak/>
        <w:t xml:space="preserve">др.) и да прилагат своевременно и адекватно </w:t>
      </w:r>
      <w:proofErr w:type="spellStart"/>
      <w:r>
        <w:t>провизиране</w:t>
      </w:r>
      <w:proofErr w:type="spellEnd"/>
      <w:r>
        <w:t>, базирани на консервативни допускания, които отчитат рисковете при неблагоприятно развитие в икономическата среда.</w:t>
      </w:r>
    </w:p>
    <w:p w:rsidR="00ED4D84" w:rsidRDefault="00150D0D" w:rsidP="00563A90">
      <w:pPr>
        <w:pStyle w:val="05-TEXT"/>
      </w:pPr>
      <w:r>
        <w:t xml:space="preserve">През 2021 г. УС на БНБ повиши нивото на </w:t>
      </w:r>
      <w:proofErr w:type="spellStart"/>
      <w:r>
        <w:t>антицикличния</w:t>
      </w:r>
      <w:proofErr w:type="spellEnd"/>
      <w:r>
        <w:t xml:space="preserve"> буфер, приложим към местни кредитни рискови експозиции, на 1.0% от 1 октомври 2022 г. и на 1.5% от 1 януари 2023 г., като  през септември 2022 г. нивото на </w:t>
      </w:r>
      <w:proofErr w:type="spellStart"/>
      <w:r>
        <w:t>антицикличния</w:t>
      </w:r>
      <w:proofErr w:type="spellEnd"/>
      <w:r>
        <w:t xml:space="preserve"> капиталов буфер бе увеличено допълнително на 2.0% в сила от 1 октомври 2023 г. Предвид трайно запазилите се високи темпове на кредитен растеж и несигурността в икономическата среда, </w:t>
      </w:r>
      <w:proofErr w:type="spellStart"/>
      <w:r>
        <w:t>антицикличният</w:t>
      </w:r>
      <w:proofErr w:type="spellEnd"/>
      <w:r>
        <w:t xml:space="preserve"> капиталов буфер на ниво от 2.0% през второто тримесечие на 2025 г. има за цел да засили устойчивостта на банковата система при натиск върху доходността и капиталовата позиция, предизвикан от потенциално нарастване на необслужваните кредити и обезценките.</w:t>
      </w:r>
    </w:p>
    <w:p w:rsidR="00563A90" w:rsidRPr="005103D0" w:rsidRDefault="0085669D" w:rsidP="00563A90">
      <w:pPr>
        <w:pStyle w:val="04-TEXTFIRST"/>
      </w:pPr>
      <w:r w:rsidRPr="0085669D">
        <w:t xml:space="preserve">Допълнителна информация за използваната методология и </w:t>
      </w:r>
      <w:r w:rsidR="00AF4318">
        <w:t>предишните</w:t>
      </w:r>
      <w:r w:rsidR="00AF4318" w:rsidRPr="0085669D">
        <w:t xml:space="preserve"> </w:t>
      </w:r>
      <w:r w:rsidRPr="0085669D">
        <w:t xml:space="preserve">решения </w:t>
      </w:r>
      <w:r w:rsidR="00AF4318">
        <w:t xml:space="preserve">за </w:t>
      </w:r>
      <w:proofErr w:type="spellStart"/>
      <w:r w:rsidR="00AF4318">
        <w:t>антицикличния</w:t>
      </w:r>
      <w:proofErr w:type="spellEnd"/>
      <w:r w:rsidR="00AF4318">
        <w:t xml:space="preserve"> капиталов буфер </w:t>
      </w:r>
      <w:r w:rsidRPr="0085669D">
        <w:t>може да се намери в раздел „</w:t>
      </w:r>
      <w:hyperlink r:id="rId8" w:history="1">
        <w:r w:rsidR="00C75245" w:rsidRPr="00FB1AE8">
          <w:rPr>
            <w:rStyle w:val="Hyperlink"/>
            <w:rFonts w:cs="Arial"/>
            <w:color w:val="ED7D31" w:themeColor="accent2"/>
          </w:rPr>
          <w:t>Капиталови буфери</w:t>
        </w:r>
      </w:hyperlink>
      <w:r w:rsidRPr="0085669D">
        <w:t>“.</w:t>
      </w:r>
    </w:p>
    <w:sectPr w:rsidR="00563A90" w:rsidRPr="005103D0" w:rsidSect="00687A29">
      <w:headerReference w:type="default" r:id="rId9"/>
      <w:footerReference w:type="default" r:id="rId10"/>
      <w:headerReference w:type="first" r:id="rId11"/>
      <w:pgSz w:w="11906" w:h="16838" w:code="9"/>
      <w:pgMar w:top="1438" w:right="851" w:bottom="1440" w:left="1418" w:header="357" w:footer="563"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1B4F" w:rsidRDefault="00C01B4F">
      <w:r>
        <w:separator/>
      </w:r>
    </w:p>
  </w:endnote>
  <w:endnote w:type="continuationSeparator" w:id="0">
    <w:p w:rsidR="00C01B4F" w:rsidRDefault="00C01B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7A29" w:rsidRDefault="00687A29" w:rsidP="00687A29">
    <w:pPr>
      <w:pStyle w:val="Footer"/>
      <w:jc w:val="right"/>
    </w:pPr>
    <w:r>
      <w:t xml:space="preserve">с. </w:t>
    </w:r>
    <w:r>
      <w:fldChar w:fldCharType="begin"/>
    </w:r>
    <w:r>
      <w:instrText xml:space="preserve"> PAGE   \* MERGEFORMAT </w:instrText>
    </w:r>
    <w:r>
      <w:fldChar w:fldCharType="separate"/>
    </w:r>
    <w:r w:rsidR="002A6223">
      <w:rPr>
        <w:noProof/>
      </w:rPr>
      <w:t>2</w:t>
    </w:r>
    <w:r>
      <w:fldChar w:fldCharType="end"/>
    </w:r>
    <w:r>
      <w:t>/</w:t>
    </w:r>
    <w:r w:rsidR="0038249A">
      <w:rPr>
        <w:noProof/>
      </w:rPr>
      <w:fldChar w:fldCharType="begin"/>
    </w:r>
    <w:r w:rsidR="0038249A">
      <w:rPr>
        <w:noProof/>
      </w:rPr>
      <w:instrText xml:space="preserve"> NUMPAGES   \* MERGEFORMAT </w:instrText>
    </w:r>
    <w:r w:rsidR="0038249A">
      <w:rPr>
        <w:noProof/>
      </w:rPr>
      <w:fldChar w:fldCharType="separate"/>
    </w:r>
    <w:r w:rsidR="002A6223">
      <w:rPr>
        <w:noProof/>
      </w:rPr>
      <w:t>2</w:t>
    </w:r>
    <w:r w:rsidR="0038249A">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1B4F" w:rsidRDefault="00C01B4F">
      <w:r>
        <w:separator/>
      </w:r>
    </w:p>
  </w:footnote>
  <w:footnote w:type="continuationSeparator" w:id="0">
    <w:p w:rsidR="00C01B4F" w:rsidRDefault="00C01B4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2333" w:rsidRDefault="002F2333">
    <w:pPr>
      <w:pStyle w:val="Header"/>
      <w:tabs>
        <w:tab w:val="center" w:pos="-180"/>
      </w:tabs>
      <w:jc w:val="center"/>
      <w:rPr>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4D4E" w:rsidRDefault="00B34D4E">
    <w:pPr>
      <w:pStyle w:val="Header"/>
    </w:pPr>
    <w:r>
      <w:rPr>
        <w:noProof/>
      </w:rPr>
      <w:drawing>
        <wp:inline distT="0" distB="0" distL="0" distR="0">
          <wp:extent cx="6119495" cy="107823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NB_logo_PR_2024_BG.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119495" cy="107823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EB1A0A"/>
    <w:multiLevelType w:val="multilevel"/>
    <w:tmpl w:val="0402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514E728A"/>
    <w:multiLevelType w:val="hybridMultilevel"/>
    <w:tmpl w:val="EC18FAFE"/>
    <w:lvl w:ilvl="0" w:tplc="0402000F">
      <w:start w:val="1"/>
      <w:numFmt w:val="decimal"/>
      <w:lvlText w:val="%1."/>
      <w:lvlJc w:val="left"/>
      <w:pPr>
        <w:ind w:left="1287" w:hanging="360"/>
      </w:pPr>
    </w:lvl>
    <w:lvl w:ilvl="1" w:tplc="04020019" w:tentative="1">
      <w:start w:val="1"/>
      <w:numFmt w:val="lowerLetter"/>
      <w:lvlText w:val="%2."/>
      <w:lvlJc w:val="left"/>
      <w:pPr>
        <w:ind w:left="2007" w:hanging="360"/>
      </w:pPr>
    </w:lvl>
    <w:lvl w:ilvl="2" w:tplc="0402001B" w:tentative="1">
      <w:start w:val="1"/>
      <w:numFmt w:val="lowerRoman"/>
      <w:lvlText w:val="%3."/>
      <w:lvlJc w:val="right"/>
      <w:pPr>
        <w:ind w:left="2727" w:hanging="180"/>
      </w:pPr>
    </w:lvl>
    <w:lvl w:ilvl="3" w:tplc="0402000F" w:tentative="1">
      <w:start w:val="1"/>
      <w:numFmt w:val="decimal"/>
      <w:lvlText w:val="%4."/>
      <w:lvlJc w:val="left"/>
      <w:pPr>
        <w:ind w:left="3447" w:hanging="360"/>
      </w:pPr>
    </w:lvl>
    <w:lvl w:ilvl="4" w:tplc="04020019" w:tentative="1">
      <w:start w:val="1"/>
      <w:numFmt w:val="lowerLetter"/>
      <w:lvlText w:val="%5."/>
      <w:lvlJc w:val="left"/>
      <w:pPr>
        <w:ind w:left="4167" w:hanging="360"/>
      </w:pPr>
    </w:lvl>
    <w:lvl w:ilvl="5" w:tplc="0402001B" w:tentative="1">
      <w:start w:val="1"/>
      <w:numFmt w:val="lowerRoman"/>
      <w:lvlText w:val="%6."/>
      <w:lvlJc w:val="right"/>
      <w:pPr>
        <w:ind w:left="4887" w:hanging="180"/>
      </w:pPr>
    </w:lvl>
    <w:lvl w:ilvl="6" w:tplc="0402000F" w:tentative="1">
      <w:start w:val="1"/>
      <w:numFmt w:val="decimal"/>
      <w:lvlText w:val="%7."/>
      <w:lvlJc w:val="left"/>
      <w:pPr>
        <w:ind w:left="5607" w:hanging="360"/>
      </w:pPr>
    </w:lvl>
    <w:lvl w:ilvl="7" w:tplc="04020019" w:tentative="1">
      <w:start w:val="1"/>
      <w:numFmt w:val="lowerLetter"/>
      <w:lvlText w:val="%8."/>
      <w:lvlJc w:val="left"/>
      <w:pPr>
        <w:ind w:left="6327" w:hanging="360"/>
      </w:pPr>
    </w:lvl>
    <w:lvl w:ilvl="8" w:tplc="0402001B" w:tentative="1">
      <w:start w:val="1"/>
      <w:numFmt w:val="lowerRoman"/>
      <w:lvlText w:val="%9."/>
      <w:lvlJc w:val="right"/>
      <w:pPr>
        <w:ind w:left="7047" w:hanging="180"/>
      </w:pPr>
    </w:lvl>
  </w:abstractNum>
  <w:abstractNum w:abstractNumId="2" w15:restartNumberingAfterBreak="0">
    <w:nsid w:val="590321AD"/>
    <w:multiLevelType w:val="hybridMultilevel"/>
    <w:tmpl w:val="0BE4A8A6"/>
    <w:lvl w:ilvl="0" w:tplc="6096CAF0">
      <w:start w:val="1"/>
      <w:numFmt w:val="decimal"/>
      <w:lvlText w:val="%1."/>
      <w:lvlJc w:val="left"/>
      <w:pPr>
        <w:ind w:left="1211" w:hanging="360"/>
      </w:pPr>
      <w:rPr>
        <w:rFonts w:hint="default"/>
      </w:rPr>
    </w:lvl>
    <w:lvl w:ilvl="1" w:tplc="0402000F">
      <w:start w:val="1"/>
      <w:numFmt w:val="decimal"/>
      <w:lvlText w:val="%2."/>
      <w:lvlJc w:val="left"/>
      <w:pPr>
        <w:ind w:left="1931" w:hanging="360"/>
      </w:pPr>
    </w:lvl>
    <w:lvl w:ilvl="2" w:tplc="0402001B" w:tentative="1">
      <w:start w:val="1"/>
      <w:numFmt w:val="lowerRoman"/>
      <w:lvlText w:val="%3."/>
      <w:lvlJc w:val="right"/>
      <w:pPr>
        <w:ind w:left="2651" w:hanging="180"/>
      </w:pPr>
    </w:lvl>
    <w:lvl w:ilvl="3" w:tplc="0402000F" w:tentative="1">
      <w:start w:val="1"/>
      <w:numFmt w:val="decimal"/>
      <w:lvlText w:val="%4."/>
      <w:lvlJc w:val="left"/>
      <w:pPr>
        <w:ind w:left="3371" w:hanging="360"/>
      </w:pPr>
    </w:lvl>
    <w:lvl w:ilvl="4" w:tplc="04020019" w:tentative="1">
      <w:start w:val="1"/>
      <w:numFmt w:val="lowerLetter"/>
      <w:lvlText w:val="%5."/>
      <w:lvlJc w:val="left"/>
      <w:pPr>
        <w:ind w:left="4091" w:hanging="360"/>
      </w:pPr>
    </w:lvl>
    <w:lvl w:ilvl="5" w:tplc="0402001B" w:tentative="1">
      <w:start w:val="1"/>
      <w:numFmt w:val="lowerRoman"/>
      <w:lvlText w:val="%6."/>
      <w:lvlJc w:val="right"/>
      <w:pPr>
        <w:ind w:left="4811" w:hanging="180"/>
      </w:pPr>
    </w:lvl>
    <w:lvl w:ilvl="6" w:tplc="0402000F" w:tentative="1">
      <w:start w:val="1"/>
      <w:numFmt w:val="decimal"/>
      <w:lvlText w:val="%7."/>
      <w:lvlJc w:val="left"/>
      <w:pPr>
        <w:ind w:left="5531" w:hanging="360"/>
      </w:pPr>
    </w:lvl>
    <w:lvl w:ilvl="7" w:tplc="04020019" w:tentative="1">
      <w:start w:val="1"/>
      <w:numFmt w:val="lowerLetter"/>
      <w:lvlText w:val="%8."/>
      <w:lvlJc w:val="left"/>
      <w:pPr>
        <w:ind w:left="6251" w:hanging="360"/>
      </w:pPr>
    </w:lvl>
    <w:lvl w:ilvl="8" w:tplc="0402001B" w:tentative="1">
      <w:start w:val="1"/>
      <w:numFmt w:val="lowerRoman"/>
      <w:lvlText w:val="%9."/>
      <w:lvlJc w:val="right"/>
      <w:pPr>
        <w:ind w:left="6971"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4F94"/>
    <w:rsid w:val="00000CEF"/>
    <w:rsid w:val="000015C1"/>
    <w:rsid w:val="00001C2C"/>
    <w:rsid w:val="000118DE"/>
    <w:rsid w:val="000175E1"/>
    <w:rsid w:val="00017BB8"/>
    <w:rsid w:val="00031CCD"/>
    <w:rsid w:val="000370BB"/>
    <w:rsid w:val="00055956"/>
    <w:rsid w:val="000569CA"/>
    <w:rsid w:val="00070163"/>
    <w:rsid w:val="0007347A"/>
    <w:rsid w:val="00074320"/>
    <w:rsid w:val="00080AC8"/>
    <w:rsid w:val="00091EF0"/>
    <w:rsid w:val="0009698F"/>
    <w:rsid w:val="000A171A"/>
    <w:rsid w:val="000A1B43"/>
    <w:rsid w:val="000A630B"/>
    <w:rsid w:val="000A7A84"/>
    <w:rsid w:val="000B0125"/>
    <w:rsid w:val="000B1FAA"/>
    <w:rsid w:val="000B7049"/>
    <w:rsid w:val="000D2FA8"/>
    <w:rsid w:val="000E0E61"/>
    <w:rsid w:val="000E4172"/>
    <w:rsid w:val="000E5100"/>
    <w:rsid w:val="000E67D6"/>
    <w:rsid w:val="000E7DC9"/>
    <w:rsid w:val="000F5F5C"/>
    <w:rsid w:val="0010486F"/>
    <w:rsid w:val="001104F6"/>
    <w:rsid w:val="00113DED"/>
    <w:rsid w:val="00117B34"/>
    <w:rsid w:val="001236F4"/>
    <w:rsid w:val="001245DD"/>
    <w:rsid w:val="00132224"/>
    <w:rsid w:val="00140A54"/>
    <w:rsid w:val="00150D0D"/>
    <w:rsid w:val="0016405B"/>
    <w:rsid w:val="0017255D"/>
    <w:rsid w:val="001727E3"/>
    <w:rsid w:val="00174AA8"/>
    <w:rsid w:val="00174C23"/>
    <w:rsid w:val="0017593C"/>
    <w:rsid w:val="00182C03"/>
    <w:rsid w:val="0018306F"/>
    <w:rsid w:val="001A33ED"/>
    <w:rsid w:val="001A3737"/>
    <w:rsid w:val="001C3DBD"/>
    <w:rsid w:val="001D60D7"/>
    <w:rsid w:val="001F7682"/>
    <w:rsid w:val="00202B49"/>
    <w:rsid w:val="00204597"/>
    <w:rsid w:val="002229F6"/>
    <w:rsid w:val="00224BE7"/>
    <w:rsid w:val="0023250B"/>
    <w:rsid w:val="0023543D"/>
    <w:rsid w:val="00237E29"/>
    <w:rsid w:val="002423D1"/>
    <w:rsid w:val="00242837"/>
    <w:rsid w:val="00256973"/>
    <w:rsid w:val="00264409"/>
    <w:rsid w:val="0026539C"/>
    <w:rsid w:val="00273A2F"/>
    <w:rsid w:val="00281BB1"/>
    <w:rsid w:val="002865E3"/>
    <w:rsid w:val="00293B15"/>
    <w:rsid w:val="002952A4"/>
    <w:rsid w:val="002A364F"/>
    <w:rsid w:val="002A44C2"/>
    <w:rsid w:val="002A46E6"/>
    <w:rsid w:val="002A6223"/>
    <w:rsid w:val="002A7FD9"/>
    <w:rsid w:val="002C07DF"/>
    <w:rsid w:val="002C64D1"/>
    <w:rsid w:val="002D09AA"/>
    <w:rsid w:val="002D1825"/>
    <w:rsid w:val="002F2333"/>
    <w:rsid w:val="002F3BDE"/>
    <w:rsid w:val="002F5EA0"/>
    <w:rsid w:val="002F79F8"/>
    <w:rsid w:val="00300E6D"/>
    <w:rsid w:val="003037B3"/>
    <w:rsid w:val="0030496C"/>
    <w:rsid w:val="00305C99"/>
    <w:rsid w:val="00316376"/>
    <w:rsid w:val="0031780B"/>
    <w:rsid w:val="003209D9"/>
    <w:rsid w:val="003229CE"/>
    <w:rsid w:val="00335FAF"/>
    <w:rsid w:val="00336D6E"/>
    <w:rsid w:val="00343384"/>
    <w:rsid w:val="00351995"/>
    <w:rsid w:val="00354F39"/>
    <w:rsid w:val="003561C0"/>
    <w:rsid w:val="00366630"/>
    <w:rsid w:val="003736B9"/>
    <w:rsid w:val="00376F0E"/>
    <w:rsid w:val="00380D75"/>
    <w:rsid w:val="0038249A"/>
    <w:rsid w:val="00382973"/>
    <w:rsid w:val="003840EC"/>
    <w:rsid w:val="003858EF"/>
    <w:rsid w:val="003A346A"/>
    <w:rsid w:val="003A36F5"/>
    <w:rsid w:val="003B13F0"/>
    <w:rsid w:val="003B1432"/>
    <w:rsid w:val="003B1E26"/>
    <w:rsid w:val="003B286A"/>
    <w:rsid w:val="003C2581"/>
    <w:rsid w:val="003C3388"/>
    <w:rsid w:val="003D390A"/>
    <w:rsid w:val="003D3A17"/>
    <w:rsid w:val="0040228D"/>
    <w:rsid w:val="00402EB9"/>
    <w:rsid w:val="00404510"/>
    <w:rsid w:val="00405B7C"/>
    <w:rsid w:val="004125F5"/>
    <w:rsid w:val="0042268B"/>
    <w:rsid w:val="00432D05"/>
    <w:rsid w:val="004339BA"/>
    <w:rsid w:val="00434538"/>
    <w:rsid w:val="00434D8C"/>
    <w:rsid w:val="004364FF"/>
    <w:rsid w:val="004413F3"/>
    <w:rsid w:val="0044409D"/>
    <w:rsid w:val="0044448C"/>
    <w:rsid w:val="00445459"/>
    <w:rsid w:val="00454111"/>
    <w:rsid w:val="00461542"/>
    <w:rsid w:val="0047573B"/>
    <w:rsid w:val="00480A27"/>
    <w:rsid w:val="00485291"/>
    <w:rsid w:val="00487754"/>
    <w:rsid w:val="00490E6F"/>
    <w:rsid w:val="004A0755"/>
    <w:rsid w:val="004A6384"/>
    <w:rsid w:val="004A6A1C"/>
    <w:rsid w:val="004B708A"/>
    <w:rsid w:val="004C03F7"/>
    <w:rsid w:val="004C232E"/>
    <w:rsid w:val="004C2686"/>
    <w:rsid w:val="004C4F90"/>
    <w:rsid w:val="004E082D"/>
    <w:rsid w:val="004E0A01"/>
    <w:rsid w:val="004E1849"/>
    <w:rsid w:val="004E6BA6"/>
    <w:rsid w:val="004F5B96"/>
    <w:rsid w:val="004F7B04"/>
    <w:rsid w:val="00500E8D"/>
    <w:rsid w:val="00503A4D"/>
    <w:rsid w:val="00504385"/>
    <w:rsid w:val="005103D0"/>
    <w:rsid w:val="0051128A"/>
    <w:rsid w:val="005202B6"/>
    <w:rsid w:val="005243DE"/>
    <w:rsid w:val="0054731F"/>
    <w:rsid w:val="00547467"/>
    <w:rsid w:val="00552BDB"/>
    <w:rsid w:val="00554F6E"/>
    <w:rsid w:val="00560BBD"/>
    <w:rsid w:val="00563A90"/>
    <w:rsid w:val="0057062E"/>
    <w:rsid w:val="00571C49"/>
    <w:rsid w:val="00577DA7"/>
    <w:rsid w:val="005861AF"/>
    <w:rsid w:val="005A0334"/>
    <w:rsid w:val="005A0FB1"/>
    <w:rsid w:val="005A45D4"/>
    <w:rsid w:val="005B2F92"/>
    <w:rsid w:val="005C1D78"/>
    <w:rsid w:val="005C7329"/>
    <w:rsid w:val="005D52B0"/>
    <w:rsid w:val="005E06E1"/>
    <w:rsid w:val="005E2224"/>
    <w:rsid w:val="005F4F94"/>
    <w:rsid w:val="005F7C50"/>
    <w:rsid w:val="00600078"/>
    <w:rsid w:val="006170BA"/>
    <w:rsid w:val="006178A4"/>
    <w:rsid w:val="006209DB"/>
    <w:rsid w:val="00624703"/>
    <w:rsid w:val="0063341B"/>
    <w:rsid w:val="00633B61"/>
    <w:rsid w:val="00633D4A"/>
    <w:rsid w:val="00637521"/>
    <w:rsid w:val="00641888"/>
    <w:rsid w:val="00664442"/>
    <w:rsid w:val="00664905"/>
    <w:rsid w:val="00681039"/>
    <w:rsid w:val="00683CCB"/>
    <w:rsid w:val="00687A29"/>
    <w:rsid w:val="006A4295"/>
    <w:rsid w:val="006A591C"/>
    <w:rsid w:val="006A6D8A"/>
    <w:rsid w:val="006A7D85"/>
    <w:rsid w:val="006B7D95"/>
    <w:rsid w:val="006C6C8F"/>
    <w:rsid w:val="006C6D49"/>
    <w:rsid w:val="006E5A26"/>
    <w:rsid w:val="007032EB"/>
    <w:rsid w:val="007043A8"/>
    <w:rsid w:val="007103C3"/>
    <w:rsid w:val="00714528"/>
    <w:rsid w:val="00722A79"/>
    <w:rsid w:val="00723F97"/>
    <w:rsid w:val="00726425"/>
    <w:rsid w:val="0072745E"/>
    <w:rsid w:val="00730504"/>
    <w:rsid w:val="00737AD2"/>
    <w:rsid w:val="0074310D"/>
    <w:rsid w:val="007456CE"/>
    <w:rsid w:val="00753370"/>
    <w:rsid w:val="007544A7"/>
    <w:rsid w:val="007609C6"/>
    <w:rsid w:val="00775E58"/>
    <w:rsid w:val="00781960"/>
    <w:rsid w:val="00782D36"/>
    <w:rsid w:val="0078744E"/>
    <w:rsid w:val="007878DD"/>
    <w:rsid w:val="00790046"/>
    <w:rsid w:val="007922A5"/>
    <w:rsid w:val="007B0713"/>
    <w:rsid w:val="007C1920"/>
    <w:rsid w:val="007C1AB9"/>
    <w:rsid w:val="007C1C7B"/>
    <w:rsid w:val="007D1C75"/>
    <w:rsid w:val="007D6D69"/>
    <w:rsid w:val="007E2E35"/>
    <w:rsid w:val="007F6789"/>
    <w:rsid w:val="00805A95"/>
    <w:rsid w:val="008103C9"/>
    <w:rsid w:val="00826854"/>
    <w:rsid w:val="00840D63"/>
    <w:rsid w:val="00852F1A"/>
    <w:rsid w:val="0085669D"/>
    <w:rsid w:val="00874727"/>
    <w:rsid w:val="00882342"/>
    <w:rsid w:val="008832A5"/>
    <w:rsid w:val="00883C90"/>
    <w:rsid w:val="008A4A03"/>
    <w:rsid w:val="008A684B"/>
    <w:rsid w:val="008A6B58"/>
    <w:rsid w:val="008B6E79"/>
    <w:rsid w:val="008B74DA"/>
    <w:rsid w:val="008D294B"/>
    <w:rsid w:val="008D3EED"/>
    <w:rsid w:val="008D5882"/>
    <w:rsid w:val="008D62A2"/>
    <w:rsid w:val="008D7622"/>
    <w:rsid w:val="008F3A90"/>
    <w:rsid w:val="009067F2"/>
    <w:rsid w:val="009069A4"/>
    <w:rsid w:val="009127FE"/>
    <w:rsid w:val="00913669"/>
    <w:rsid w:val="00920F24"/>
    <w:rsid w:val="00933E7B"/>
    <w:rsid w:val="00934D5F"/>
    <w:rsid w:val="00940E63"/>
    <w:rsid w:val="00946541"/>
    <w:rsid w:val="009468F2"/>
    <w:rsid w:val="00966968"/>
    <w:rsid w:val="0097350B"/>
    <w:rsid w:val="00986DF9"/>
    <w:rsid w:val="009947CF"/>
    <w:rsid w:val="009A2733"/>
    <w:rsid w:val="009A5514"/>
    <w:rsid w:val="009C1232"/>
    <w:rsid w:val="009E1CE1"/>
    <w:rsid w:val="009E6015"/>
    <w:rsid w:val="009F21E1"/>
    <w:rsid w:val="009F477F"/>
    <w:rsid w:val="00A02F75"/>
    <w:rsid w:val="00A13B4C"/>
    <w:rsid w:val="00A17184"/>
    <w:rsid w:val="00A30955"/>
    <w:rsid w:val="00A363EC"/>
    <w:rsid w:val="00A41B9D"/>
    <w:rsid w:val="00A452D0"/>
    <w:rsid w:val="00A46905"/>
    <w:rsid w:val="00A5000B"/>
    <w:rsid w:val="00A51DD0"/>
    <w:rsid w:val="00A520BA"/>
    <w:rsid w:val="00A52737"/>
    <w:rsid w:val="00A660B5"/>
    <w:rsid w:val="00A717EB"/>
    <w:rsid w:val="00A85466"/>
    <w:rsid w:val="00A865E4"/>
    <w:rsid w:val="00A93EA9"/>
    <w:rsid w:val="00A97AAA"/>
    <w:rsid w:val="00AA13EB"/>
    <w:rsid w:val="00AA4D8E"/>
    <w:rsid w:val="00AA6DFF"/>
    <w:rsid w:val="00AB15CA"/>
    <w:rsid w:val="00AC4C40"/>
    <w:rsid w:val="00AE08A0"/>
    <w:rsid w:val="00AE2828"/>
    <w:rsid w:val="00AF3185"/>
    <w:rsid w:val="00AF4318"/>
    <w:rsid w:val="00B046BC"/>
    <w:rsid w:val="00B22A9B"/>
    <w:rsid w:val="00B34D4E"/>
    <w:rsid w:val="00B36BF5"/>
    <w:rsid w:val="00B413FC"/>
    <w:rsid w:val="00B44D7E"/>
    <w:rsid w:val="00B527C2"/>
    <w:rsid w:val="00B5283C"/>
    <w:rsid w:val="00B54440"/>
    <w:rsid w:val="00B55A7D"/>
    <w:rsid w:val="00B627C5"/>
    <w:rsid w:val="00B6698C"/>
    <w:rsid w:val="00B67FBB"/>
    <w:rsid w:val="00B717F3"/>
    <w:rsid w:val="00B8639B"/>
    <w:rsid w:val="00B9155C"/>
    <w:rsid w:val="00B91D79"/>
    <w:rsid w:val="00B932A4"/>
    <w:rsid w:val="00B941AD"/>
    <w:rsid w:val="00B9756F"/>
    <w:rsid w:val="00BA3EED"/>
    <w:rsid w:val="00BC42B4"/>
    <w:rsid w:val="00BC4F2C"/>
    <w:rsid w:val="00BC5FDE"/>
    <w:rsid w:val="00BC6658"/>
    <w:rsid w:val="00BC6EA9"/>
    <w:rsid w:val="00BE3DA7"/>
    <w:rsid w:val="00C01B4F"/>
    <w:rsid w:val="00C112A1"/>
    <w:rsid w:val="00C118DD"/>
    <w:rsid w:val="00C13690"/>
    <w:rsid w:val="00C138C3"/>
    <w:rsid w:val="00C13E06"/>
    <w:rsid w:val="00C25F8C"/>
    <w:rsid w:val="00C27DAA"/>
    <w:rsid w:val="00C33017"/>
    <w:rsid w:val="00C34EBD"/>
    <w:rsid w:val="00C45384"/>
    <w:rsid w:val="00C46C4A"/>
    <w:rsid w:val="00C6690A"/>
    <w:rsid w:val="00C75245"/>
    <w:rsid w:val="00C771E3"/>
    <w:rsid w:val="00C82026"/>
    <w:rsid w:val="00C824B6"/>
    <w:rsid w:val="00C85120"/>
    <w:rsid w:val="00CA0597"/>
    <w:rsid w:val="00CB033F"/>
    <w:rsid w:val="00CB09F1"/>
    <w:rsid w:val="00CB369F"/>
    <w:rsid w:val="00CC2ED0"/>
    <w:rsid w:val="00CC3DBB"/>
    <w:rsid w:val="00CC7428"/>
    <w:rsid w:val="00CD4AA9"/>
    <w:rsid w:val="00CE3438"/>
    <w:rsid w:val="00CE3E2A"/>
    <w:rsid w:val="00CF22C1"/>
    <w:rsid w:val="00CF2823"/>
    <w:rsid w:val="00CF656C"/>
    <w:rsid w:val="00D0082F"/>
    <w:rsid w:val="00D0137E"/>
    <w:rsid w:val="00D0428D"/>
    <w:rsid w:val="00D11D2F"/>
    <w:rsid w:val="00D12263"/>
    <w:rsid w:val="00D229C1"/>
    <w:rsid w:val="00D27055"/>
    <w:rsid w:val="00D3447F"/>
    <w:rsid w:val="00D433C8"/>
    <w:rsid w:val="00D475F4"/>
    <w:rsid w:val="00D5087B"/>
    <w:rsid w:val="00D56A0B"/>
    <w:rsid w:val="00D56EAE"/>
    <w:rsid w:val="00D60726"/>
    <w:rsid w:val="00D629DA"/>
    <w:rsid w:val="00D64D55"/>
    <w:rsid w:val="00D66081"/>
    <w:rsid w:val="00D708D7"/>
    <w:rsid w:val="00D71895"/>
    <w:rsid w:val="00D718CF"/>
    <w:rsid w:val="00D73798"/>
    <w:rsid w:val="00D7623D"/>
    <w:rsid w:val="00D80D56"/>
    <w:rsid w:val="00D80F5A"/>
    <w:rsid w:val="00D857A7"/>
    <w:rsid w:val="00D91240"/>
    <w:rsid w:val="00D9250A"/>
    <w:rsid w:val="00D9329C"/>
    <w:rsid w:val="00D94809"/>
    <w:rsid w:val="00D96432"/>
    <w:rsid w:val="00D964B8"/>
    <w:rsid w:val="00DA0BB4"/>
    <w:rsid w:val="00DB4728"/>
    <w:rsid w:val="00DB68F6"/>
    <w:rsid w:val="00DC2AB4"/>
    <w:rsid w:val="00DD2B7B"/>
    <w:rsid w:val="00DD7677"/>
    <w:rsid w:val="00DD7E25"/>
    <w:rsid w:val="00DD7F25"/>
    <w:rsid w:val="00DE1AB9"/>
    <w:rsid w:val="00DE3347"/>
    <w:rsid w:val="00DE5FAE"/>
    <w:rsid w:val="00DE687A"/>
    <w:rsid w:val="00DE76DE"/>
    <w:rsid w:val="00E0175F"/>
    <w:rsid w:val="00E0176E"/>
    <w:rsid w:val="00E0401C"/>
    <w:rsid w:val="00E077C1"/>
    <w:rsid w:val="00E15DCD"/>
    <w:rsid w:val="00E16EF1"/>
    <w:rsid w:val="00E2056E"/>
    <w:rsid w:val="00E21DF5"/>
    <w:rsid w:val="00E27F8B"/>
    <w:rsid w:val="00E30C46"/>
    <w:rsid w:val="00E33F45"/>
    <w:rsid w:val="00E42A1D"/>
    <w:rsid w:val="00E4384E"/>
    <w:rsid w:val="00E474F6"/>
    <w:rsid w:val="00E4775E"/>
    <w:rsid w:val="00E5447C"/>
    <w:rsid w:val="00E54A29"/>
    <w:rsid w:val="00E550D2"/>
    <w:rsid w:val="00E65B32"/>
    <w:rsid w:val="00E65D48"/>
    <w:rsid w:val="00E661EC"/>
    <w:rsid w:val="00E72CB1"/>
    <w:rsid w:val="00E7758F"/>
    <w:rsid w:val="00E81C6F"/>
    <w:rsid w:val="00EA57F0"/>
    <w:rsid w:val="00EA6103"/>
    <w:rsid w:val="00EB1DD9"/>
    <w:rsid w:val="00EC6035"/>
    <w:rsid w:val="00ED4805"/>
    <w:rsid w:val="00ED4D84"/>
    <w:rsid w:val="00EE5F74"/>
    <w:rsid w:val="00F0259D"/>
    <w:rsid w:val="00F05D1E"/>
    <w:rsid w:val="00F2557F"/>
    <w:rsid w:val="00F37006"/>
    <w:rsid w:val="00F434AD"/>
    <w:rsid w:val="00F45F8A"/>
    <w:rsid w:val="00F5016D"/>
    <w:rsid w:val="00F53BAC"/>
    <w:rsid w:val="00F55455"/>
    <w:rsid w:val="00F565D7"/>
    <w:rsid w:val="00F66F76"/>
    <w:rsid w:val="00F73804"/>
    <w:rsid w:val="00F7516F"/>
    <w:rsid w:val="00F75980"/>
    <w:rsid w:val="00F812FD"/>
    <w:rsid w:val="00F84449"/>
    <w:rsid w:val="00F84BF9"/>
    <w:rsid w:val="00FA0FAA"/>
    <w:rsid w:val="00FB1AE8"/>
    <w:rsid w:val="00FB634D"/>
    <w:rsid w:val="00FB7042"/>
    <w:rsid w:val="00FC009B"/>
    <w:rsid w:val="00FC66A2"/>
    <w:rsid w:val="00FC6BCA"/>
    <w:rsid w:val="00FD6789"/>
    <w:rsid w:val="00FE1589"/>
    <w:rsid w:val="00FE290A"/>
    <w:rsid w:val="00FE346B"/>
    <w:rsid w:val="00FE6C25"/>
    <w:rsid w:val="00FF10A2"/>
    <w:rsid w:val="00FF22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5DC6BFE4-CFF8-4C0B-A855-B29F64896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before="120" w:line="360" w:lineRule="auto"/>
      <w:ind w:firstLine="720"/>
      <w:jc w:val="both"/>
    </w:pPr>
    <w:rPr>
      <w:sz w:val="24"/>
      <w:lang w:val="bg-BG" w:eastAsia="bg-BG"/>
    </w:rPr>
  </w:style>
  <w:style w:type="paragraph" w:styleId="Heading1">
    <w:name w:val="heading 1"/>
    <w:basedOn w:val="Normal"/>
    <w:next w:val="Normal"/>
    <w:qFormat/>
    <w:pPr>
      <w:keepNext/>
      <w:keepLines/>
      <w:spacing w:before="240" w:after="60"/>
      <w:ind w:firstLine="0"/>
      <w:jc w:val="center"/>
      <w:outlineLvl w:val="0"/>
    </w:pPr>
    <w:rPr>
      <w:b/>
      <w:kern w:val="28"/>
      <w:sz w:val="28"/>
    </w:rPr>
  </w:style>
  <w:style w:type="paragraph" w:styleId="Heading2">
    <w:name w:val="heading 2"/>
    <w:basedOn w:val="Normal"/>
    <w:next w:val="Normal"/>
    <w:qFormat/>
    <w:pPr>
      <w:keepNext/>
      <w:keepLines/>
      <w:spacing w:before="240" w:after="60"/>
      <w:ind w:firstLine="0"/>
      <w:jc w:val="left"/>
      <w:outlineLvl w:val="1"/>
    </w:pPr>
    <w:rPr>
      <w:b/>
      <w:i/>
    </w:rPr>
  </w:style>
  <w:style w:type="paragraph" w:styleId="Heading3">
    <w:name w:val="heading 3"/>
    <w:basedOn w:val="Normal"/>
    <w:next w:val="Normal"/>
    <w:qFormat/>
    <w:pPr>
      <w:keepNext/>
      <w:spacing w:before="240" w:after="60"/>
      <w:ind w:firstLine="0"/>
      <w:jc w:val="left"/>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semiHidden/>
    <w:pPr>
      <w:tabs>
        <w:tab w:val="right" w:pos="10773"/>
      </w:tabs>
    </w:pPr>
    <w:rPr>
      <w:i/>
      <w:sz w:val="22"/>
      <w:lang w:val="bg-BG" w:eastAsia="bg-BG"/>
    </w:rPr>
  </w:style>
  <w:style w:type="paragraph" w:styleId="Footer">
    <w:name w:val="footer"/>
    <w:basedOn w:val="Header"/>
    <w:semiHidden/>
  </w:style>
  <w:style w:type="paragraph" w:styleId="BalloonText">
    <w:name w:val="Balloon Text"/>
    <w:basedOn w:val="Normal"/>
    <w:semiHidden/>
    <w:rPr>
      <w:rFonts w:ascii="Tahoma" w:hAnsi="Tahoma" w:cs="Tahoma"/>
      <w:sz w:val="16"/>
      <w:szCs w:val="16"/>
    </w:rPr>
  </w:style>
  <w:style w:type="character" w:customStyle="1" w:styleId="1">
    <w:name w:val="Основен текст1"/>
    <w:basedOn w:val="DefaultParagraphFont"/>
    <w:rPr>
      <w:rFonts w:ascii="Times New Roman" w:hAnsi="Times New Roman"/>
      <w:sz w:val="24"/>
    </w:rPr>
  </w:style>
  <w:style w:type="character" w:styleId="FootnoteReference">
    <w:name w:val="footnote reference"/>
    <w:basedOn w:val="DefaultParagraphFont"/>
    <w:semiHidden/>
    <w:rPr>
      <w:rFonts w:ascii="Times New Roman" w:hAnsi="Times New Roman"/>
      <w:sz w:val="18"/>
      <w:vertAlign w:val="superscript"/>
    </w:rPr>
  </w:style>
  <w:style w:type="paragraph" w:styleId="FootnoteText">
    <w:name w:val="footnote text"/>
    <w:semiHidden/>
    <w:pPr>
      <w:tabs>
        <w:tab w:val="left" w:pos="216"/>
      </w:tabs>
      <w:ind w:left="430" w:hanging="215"/>
    </w:pPr>
    <w:rPr>
      <w:lang w:val="bg-BG" w:eastAsia="bg-BG"/>
    </w:rPr>
  </w:style>
  <w:style w:type="paragraph" w:styleId="TOC1">
    <w:name w:val="toc 1"/>
    <w:next w:val="Normal"/>
    <w:semiHidden/>
    <w:pPr>
      <w:tabs>
        <w:tab w:val="right" w:leader="dot" w:pos="9638"/>
      </w:tabs>
      <w:spacing w:before="120"/>
    </w:pPr>
    <w:rPr>
      <w:rFonts w:ascii="Arial" w:hAnsi="Arial"/>
      <w:lang w:val="bg-BG" w:eastAsia="bg-BG"/>
    </w:rPr>
  </w:style>
  <w:style w:type="paragraph" w:styleId="TOC2">
    <w:name w:val="toc 2"/>
    <w:basedOn w:val="TOC1"/>
    <w:next w:val="Normal"/>
    <w:semiHidden/>
    <w:pPr>
      <w:spacing w:before="80"/>
      <w:ind w:left="238"/>
    </w:pPr>
  </w:style>
  <w:style w:type="paragraph" w:styleId="TOC3">
    <w:name w:val="toc 3"/>
    <w:basedOn w:val="TOC1"/>
    <w:next w:val="Normal"/>
    <w:semiHidden/>
    <w:pPr>
      <w:spacing w:before="40"/>
      <w:ind w:left="482"/>
    </w:pPr>
  </w:style>
  <w:style w:type="paragraph" w:styleId="TOC4">
    <w:name w:val="toc 4"/>
    <w:basedOn w:val="TOC1"/>
    <w:next w:val="Normal"/>
    <w:semiHidden/>
    <w:pPr>
      <w:spacing w:before="0"/>
      <w:ind w:left="720"/>
    </w:pPr>
  </w:style>
  <w:style w:type="paragraph" w:customStyle="1" w:styleId="a">
    <w:name w:val="БДС параграф"/>
    <w:pPr>
      <w:spacing w:line="480" w:lineRule="auto"/>
      <w:ind w:firstLine="720"/>
    </w:pPr>
    <w:rPr>
      <w:rFonts w:ascii="Arial" w:hAnsi="Arial"/>
      <w:sz w:val="24"/>
      <w:lang w:val="bg-BG" w:eastAsia="bg-BG"/>
    </w:rPr>
  </w:style>
  <w:style w:type="paragraph" w:customStyle="1" w:styleId="a0">
    <w:name w:val="Обикн. параграф"/>
    <w:basedOn w:val="Normal"/>
  </w:style>
  <w:style w:type="paragraph" w:customStyle="1" w:styleId="10">
    <w:name w:val="Заглавие 1 центрирано"/>
    <w:basedOn w:val="a0"/>
    <w:next w:val="a0"/>
    <w:pPr>
      <w:spacing w:before="240" w:after="60"/>
      <w:ind w:firstLine="0"/>
      <w:jc w:val="center"/>
    </w:pPr>
    <w:rPr>
      <w:b/>
      <w:sz w:val="28"/>
    </w:rPr>
  </w:style>
  <w:style w:type="paragraph" w:customStyle="1" w:styleId="11">
    <w:name w:val="Заглавие 1 ляво"/>
    <w:basedOn w:val="10"/>
    <w:next w:val="a0"/>
    <w:pPr>
      <w:jc w:val="left"/>
    </w:pPr>
  </w:style>
  <w:style w:type="paragraph" w:customStyle="1" w:styleId="2">
    <w:name w:val="Заглавие 2 центрирано"/>
    <w:basedOn w:val="10"/>
    <w:next w:val="a0"/>
    <w:rPr>
      <w:i/>
      <w:sz w:val="24"/>
    </w:rPr>
  </w:style>
  <w:style w:type="paragraph" w:customStyle="1" w:styleId="20">
    <w:name w:val="Заглавие 2 ляво"/>
    <w:basedOn w:val="2"/>
    <w:next w:val="a0"/>
    <w:pPr>
      <w:jc w:val="left"/>
    </w:pPr>
  </w:style>
  <w:style w:type="paragraph" w:customStyle="1" w:styleId="3">
    <w:name w:val="Заглавие 3 центрирано"/>
    <w:basedOn w:val="10"/>
    <w:next w:val="a0"/>
    <w:rPr>
      <w:sz w:val="24"/>
    </w:rPr>
  </w:style>
  <w:style w:type="paragraph" w:customStyle="1" w:styleId="30">
    <w:name w:val="Заглавие 3 ляво"/>
    <w:basedOn w:val="3"/>
    <w:next w:val="a0"/>
    <w:pPr>
      <w:jc w:val="left"/>
    </w:pPr>
  </w:style>
  <w:style w:type="paragraph" w:customStyle="1" w:styleId="a1">
    <w:name w:val="Заглавие на документа"/>
    <w:basedOn w:val="a0"/>
    <w:next w:val="a0"/>
    <w:pPr>
      <w:keepNext/>
      <w:keepLines/>
      <w:spacing w:before="0" w:after="960" w:line="480" w:lineRule="exact"/>
      <w:ind w:firstLine="0"/>
      <w:jc w:val="center"/>
    </w:pPr>
    <w:rPr>
      <w:b/>
      <w:sz w:val="32"/>
    </w:rPr>
  </w:style>
  <w:style w:type="paragraph" w:customStyle="1" w:styleId="a2">
    <w:name w:val="Обикн. пар. с продължение"/>
    <w:basedOn w:val="a0"/>
    <w:next w:val="a0"/>
    <w:pPr>
      <w:keepNext/>
    </w:pPr>
  </w:style>
  <w:style w:type="paragraph" w:customStyle="1" w:styleId="a3">
    <w:name w:val="Плътен параграф"/>
    <w:basedOn w:val="a0"/>
    <w:next w:val="a0"/>
    <w:pPr>
      <w:tabs>
        <w:tab w:val="left" w:pos="1701"/>
        <w:tab w:val="left" w:pos="3402"/>
        <w:tab w:val="left" w:pos="5103"/>
        <w:tab w:val="left" w:pos="6804"/>
        <w:tab w:val="left" w:pos="8505"/>
        <w:tab w:val="right" w:pos="9639"/>
      </w:tabs>
      <w:ind w:firstLine="0"/>
    </w:pPr>
  </w:style>
  <w:style w:type="paragraph" w:customStyle="1" w:styleId="12">
    <w:name w:val="Пар. с  12 см отстъп"/>
    <w:basedOn w:val="a3"/>
    <w:pPr>
      <w:tabs>
        <w:tab w:val="clear" w:pos="1701"/>
        <w:tab w:val="clear" w:pos="3402"/>
        <w:tab w:val="clear" w:pos="5103"/>
        <w:tab w:val="clear" w:pos="6804"/>
      </w:tabs>
      <w:spacing w:before="0"/>
      <w:ind w:left="6804"/>
    </w:pPr>
  </w:style>
  <w:style w:type="paragraph" w:customStyle="1" w:styleId="31">
    <w:name w:val="Пар. с  3 см отстъп"/>
    <w:basedOn w:val="a3"/>
    <w:pPr>
      <w:tabs>
        <w:tab w:val="clear" w:pos="1701"/>
      </w:tabs>
      <w:spacing w:before="0"/>
      <w:ind w:left="1701"/>
    </w:pPr>
  </w:style>
  <w:style w:type="paragraph" w:customStyle="1" w:styleId="6">
    <w:name w:val="Пар. с  6 см отстъп"/>
    <w:basedOn w:val="a3"/>
    <w:pPr>
      <w:tabs>
        <w:tab w:val="clear" w:pos="1701"/>
        <w:tab w:val="clear" w:pos="3402"/>
      </w:tabs>
      <w:spacing w:before="0"/>
      <w:ind w:left="3402"/>
    </w:pPr>
  </w:style>
  <w:style w:type="paragraph" w:customStyle="1" w:styleId="9">
    <w:name w:val="Пар. с  9 см отстъп"/>
    <w:basedOn w:val="a3"/>
    <w:pPr>
      <w:tabs>
        <w:tab w:val="clear" w:pos="1701"/>
        <w:tab w:val="clear" w:pos="3402"/>
        <w:tab w:val="clear" w:pos="5103"/>
      </w:tabs>
      <w:spacing w:before="0"/>
      <w:ind w:left="5103"/>
    </w:pPr>
  </w:style>
  <w:style w:type="paragraph" w:customStyle="1" w:styleId="a4">
    <w:name w:val="Плътен пар. с прод."/>
    <w:basedOn w:val="a3"/>
    <w:pPr>
      <w:keepNext/>
    </w:pPr>
  </w:style>
  <w:style w:type="paragraph" w:customStyle="1" w:styleId="1-">
    <w:name w:val="Списък 1-о ниво"/>
    <w:basedOn w:val="a0"/>
    <w:pPr>
      <w:tabs>
        <w:tab w:val="left" w:pos="1008"/>
      </w:tabs>
      <w:spacing w:before="60"/>
      <w:ind w:left="1296" w:hanging="288"/>
    </w:pPr>
  </w:style>
  <w:style w:type="paragraph" w:customStyle="1" w:styleId="2-">
    <w:name w:val="Списък 2-о ниво"/>
    <w:basedOn w:val="1-"/>
    <w:pPr>
      <w:tabs>
        <w:tab w:val="clear" w:pos="1008"/>
        <w:tab w:val="left" w:pos="1728"/>
      </w:tabs>
      <w:ind w:left="2017" w:hanging="289"/>
    </w:pPr>
  </w:style>
  <w:style w:type="paragraph" w:customStyle="1" w:styleId="3-">
    <w:name w:val="Списък 3-о ниво"/>
    <w:basedOn w:val="1-"/>
    <w:pPr>
      <w:tabs>
        <w:tab w:val="clear" w:pos="1008"/>
        <w:tab w:val="left" w:pos="2448"/>
      </w:tabs>
      <w:ind w:left="2737" w:hanging="289"/>
    </w:pPr>
  </w:style>
  <w:style w:type="paragraph" w:styleId="ListParagraph">
    <w:name w:val="List Paragraph"/>
    <w:basedOn w:val="Normal"/>
    <w:uiPriority w:val="34"/>
    <w:qFormat/>
    <w:rsid w:val="00D91240"/>
    <w:pPr>
      <w:spacing w:before="0" w:after="200" w:line="276" w:lineRule="auto"/>
      <w:ind w:left="720" w:firstLine="0"/>
      <w:contextualSpacing/>
      <w:jc w:val="left"/>
    </w:pPr>
    <w:rPr>
      <w:rFonts w:asciiTheme="minorHAnsi" w:eastAsiaTheme="minorHAnsi" w:hAnsiTheme="minorHAnsi" w:cstheme="minorBidi"/>
      <w:sz w:val="22"/>
      <w:szCs w:val="22"/>
      <w:lang w:eastAsia="en-US"/>
    </w:rPr>
  </w:style>
  <w:style w:type="character" w:styleId="Hyperlink">
    <w:name w:val="Hyperlink"/>
    <w:basedOn w:val="DefaultParagraphFont"/>
    <w:uiPriority w:val="99"/>
    <w:unhideWhenUsed/>
    <w:rsid w:val="002A7FD9"/>
    <w:rPr>
      <w:color w:val="0563C1" w:themeColor="hyperlink"/>
      <w:u w:val="single"/>
    </w:rPr>
  </w:style>
  <w:style w:type="paragraph" w:customStyle="1" w:styleId="04-TEXTFIRST">
    <w:name w:val="04-TEXT FIRST"/>
    <w:basedOn w:val="Normal"/>
    <w:rsid w:val="00E0175F"/>
    <w:pPr>
      <w:spacing w:before="200"/>
      <w:ind w:firstLine="227"/>
    </w:pPr>
    <w:rPr>
      <w:rFonts w:ascii="Arial" w:hAnsi="Arial"/>
      <w:sz w:val="20"/>
      <w:szCs w:val="24"/>
      <w:lang w:eastAsia="en-US"/>
    </w:rPr>
  </w:style>
  <w:style w:type="paragraph" w:styleId="NormalWeb">
    <w:name w:val="Normal (Web)"/>
    <w:basedOn w:val="Normal"/>
    <w:uiPriority w:val="99"/>
    <w:semiHidden/>
    <w:unhideWhenUsed/>
    <w:rsid w:val="007032EB"/>
    <w:pPr>
      <w:spacing w:before="100" w:beforeAutospacing="1" w:after="100" w:afterAutospacing="1" w:line="240" w:lineRule="auto"/>
      <w:ind w:firstLine="0"/>
      <w:jc w:val="left"/>
    </w:pPr>
    <w:rPr>
      <w:szCs w:val="24"/>
    </w:rPr>
  </w:style>
  <w:style w:type="character" w:styleId="FollowedHyperlink">
    <w:name w:val="FollowedHyperlink"/>
    <w:basedOn w:val="DefaultParagraphFont"/>
    <w:uiPriority w:val="99"/>
    <w:semiHidden/>
    <w:unhideWhenUsed/>
    <w:rsid w:val="007032EB"/>
    <w:rPr>
      <w:color w:val="954F72" w:themeColor="followedHyperlink"/>
      <w:u w:val="single"/>
    </w:rPr>
  </w:style>
  <w:style w:type="paragraph" w:customStyle="1" w:styleId="02-DATE">
    <w:name w:val="02-DATE"/>
    <w:next w:val="Normal"/>
    <w:rsid w:val="009E6015"/>
    <w:pPr>
      <w:spacing w:line="360" w:lineRule="auto"/>
      <w:jc w:val="right"/>
    </w:pPr>
    <w:rPr>
      <w:rFonts w:ascii="Arial" w:hAnsi="Arial"/>
      <w:b/>
      <w:lang w:val="bg-BG" w:eastAsia="en-US"/>
    </w:rPr>
  </w:style>
  <w:style w:type="paragraph" w:customStyle="1" w:styleId="01-PRESSRELEASE">
    <w:name w:val="01-PRESSRELEASE"/>
    <w:next w:val="02-DATE"/>
    <w:rsid w:val="00B34D4E"/>
    <w:pPr>
      <w:spacing w:before="400" w:line="360" w:lineRule="auto"/>
      <w:jc w:val="center"/>
    </w:pPr>
    <w:rPr>
      <w:rFonts w:ascii="Arial" w:hAnsi="Arial"/>
      <w:b/>
      <w:lang w:val="bg-BG" w:eastAsia="en-US"/>
    </w:rPr>
  </w:style>
  <w:style w:type="paragraph" w:customStyle="1" w:styleId="05-TEXT">
    <w:name w:val="05-TEXT"/>
    <w:link w:val="05-TEXTCharChar"/>
    <w:rsid w:val="00563A90"/>
    <w:pPr>
      <w:spacing w:line="360" w:lineRule="auto"/>
      <w:ind w:firstLine="227"/>
      <w:jc w:val="both"/>
    </w:pPr>
    <w:rPr>
      <w:rFonts w:ascii="Arial" w:hAnsi="Arial"/>
      <w:szCs w:val="24"/>
      <w:lang w:val="bg-BG" w:eastAsia="en-US"/>
    </w:rPr>
  </w:style>
  <w:style w:type="character" w:customStyle="1" w:styleId="05-TEXTCharChar">
    <w:name w:val="05-TEXT Char Char"/>
    <w:link w:val="05-TEXT"/>
    <w:rsid w:val="00563A90"/>
    <w:rPr>
      <w:rFonts w:ascii="Arial" w:hAnsi="Arial"/>
      <w:szCs w:val="24"/>
      <w:lang w:val="bg-B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2093704">
      <w:bodyDiv w:val="1"/>
      <w:marLeft w:val="0"/>
      <w:marRight w:val="0"/>
      <w:marTop w:val="0"/>
      <w:marBottom w:val="0"/>
      <w:divBdr>
        <w:top w:val="none" w:sz="0" w:space="0" w:color="auto"/>
        <w:left w:val="none" w:sz="0" w:space="0" w:color="auto"/>
        <w:bottom w:val="none" w:sz="0" w:space="0" w:color="auto"/>
        <w:right w:val="none" w:sz="0" w:space="0" w:color="auto"/>
      </w:divBdr>
      <w:divsChild>
        <w:div w:id="1621911267">
          <w:marLeft w:val="0"/>
          <w:marRight w:val="0"/>
          <w:marTop w:val="0"/>
          <w:marBottom w:val="0"/>
          <w:divBdr>
            <w:top w:val="none" w:sz="0" w:space="0" w:color="auto"/>
            <w:left w:val="none" w:sz="0" w:space="0" w:color="auto"/>
            <w:bottom w:val="none" w:sz="0" w:space="0" w:color="auto"/>
            <w:right w:val="none" w:sz="0" w:space="0" w:color="auto"/>
          </w:divBdr>
          <w:divsChild>
            <w:div w:id="1077092423">
              <w:marLeft w:val="0"/>
              <w:marRight w:val="0"/>
              <w:marTop w:val="0"/>
              <w:marBottom w:val="0"/>
              <w:divBdr>
                <w:top w:val="none" w:sz="0" w:space="0" w:color="auto"/>
                <w:left w:val="none" w:sz="0" w:space="0" w:color="auto"/>
                <w:bottom w:val="none" w:sz="0" w:space="0" w:color="auto"/>
                <w:right w:val="none" w:sz="0" w:space="0" w:color="auto"/>
              </w:divBdr>
              <w:divsChild>
                <w:div w:id="861355574">
                  <w:marLeft w:val="0"/>
                  <w:marRight w:val="0"/>
                  <w:marTop w:val="0"/>
                  <w:marBottom w:val="0"/>
                  <w:divBdr>
                    <w:top w:val="none" w:sz="0" w:space="0" w:color="auto"/>
                    <w:left w:val="none" w:sz="0" w:space="0" w:color="auto"/>
                    <w:bottom w:val="none" w:sz="0" w:space="0" w:color="auto"/>
                    <w:right w:val="none" w:sz="0" w:space="0" w:color="auto"/>
                  </w:divBdr>
                  <w:divsChild>
                    <w:div w:id="220135475">
                      <w:marLeft w:val="0"/>
                      <w:marRight w:val="0"/>
                      <w:marTop w:val="0"/>
                      <w:marBottom w:val="0"/>
                      <w:divBdr>
                        <w:top w:val="none" w:sz="0" w:space="0" w:color="auto"/>
                        <w:left w:val="none" w:sz="0" w:space="0" w:color="auto"/>
                        <w:bottom w:val="none" w:sz="0" w:space="0" w:color="auto"/>
                        <w:right w:val="none" w:sz="0" w:space="0" w:color="auto"/>
                      </w:divBdr>
                      <w:divsChild>
                        <w:div w:id="1030229837">
                          <w:marLeft w:val="0"/>
                          <w:marRight w:val="0"/>
                          <w:marTop w:val="0"/>
                          <w:marBottom w:val="0"/>
                          <w:divBdr>
                            <w:top w:val="none" w:sz="0" w:space="0" w:color="auto"/>
                            <w:left w:val="none" w:sz="0" w:space="0" w:color="auto"/>
                            <w:bottom w:val="none" w:sz="0" w:space="0" w:color="auto"/>
                            <w:right w:val="none" w:sz="0" w:space="0" w:color="auto"/>
                          </w:divBdr>
                          <w:divsChild>
                            <w:div w:id="1166631094">
                              <w:marLeft w:val="0"/>
                              <w:marRight w:val="0"/>
                              <w:marTop w:val="0"/>
                              <w:marBottom w:val="0"/>
                              <w:divBdr>
                                <w:top w:val="none" w:sz="0" w:space="0" w:color="auto"/>
                                <w:left w:val="none" w:sz="0" w:space="0" w:color="auto"/>
                                <w:bottom w:val="none" w:sz="0" w:space="0" w:color="auto"/>
                                <w:right w:val="none" w:sz="0" w:space="0" w:color="auto"/>
                              </w:divBdr>
                              <w:divsChild>
                                <w:div w:id="1458836323">
                                  <w:marLeft w:val="0"/>
                                  <w:marRight w:val="0"/>
                                  <w:marTop w:val="0"/>
                                  <w:marBottom w:val="0"/>
                                  <w:divBdr>
                                    <w:top w:val="none" w:sz="0" w:space="0" w:color="auto"/>
                                    <w:left w:val="none" w:sz="0" w:space="0" w:color="auto"/>
                                    <w:bottom w:val="none" w:sz="0" w:space="0" w:color="auto"/>
                                    <w:right w:val="none" w:sz="0" w:space="0" w:color="auto"/>
                                  </w:divBdr>
                                  <w:divsChild>
                                    <w:div w:id="769425089">
                                      <w:marLeft w:val="0"/>
                                      <w:marRight w:val="0"/>
                                      <w:marTop w:val="0"/>
                                      <w:marBottom w:val="0"/>
                                      <w:divBdr>
                                        <w:top w:val="none" w:sz="0" w:space="0" w:color="auto"/>
                                        <w:left w:val="none" w:sz="0" w:space="0" w:color="auto"/>
                                        <w:bottom w:val="none" w:sz="0" w:space="0" w:color="auto"/>
                                        <w:right w:val="none" w:sz="0" w:space="0" w:color="auto"/>
                                      </w:divBdr>
                                      <w:divsChild>
                                        <w:div w:id="87890170">
                                          <w:marLeft w:val="0"/>
                                          <w:marRight w:val="0"/>
                                          <w:marTop w:val="0"/>
                                          <w:marBottom w:val="0"/>
                                          <w:divBdr>
                                            <w:top w:val="none" w:sz="0" w:space="0" w:color="auto"/>
                                            <w:left w:val="none" w:sz="0" w:space="0" w:color="auto"/>
                                            <w:bottom w:val="none" w:sz="0" w:space="0" w:color="auto"/>
                                            <w:right w:val="none" w:sz="0" w:space="0" w:color="auto"/>
                                          </w:divBdr>
                                          <w:divsChild>
                                            <w:div w:id="206647263">
                                              <w:marLeft w:val="0"/>
                                              <w:marRight w:val="0"/>
                                              <w:marTop w:val="0"/>
                                              <w:marBottom w:val="0"/>
                                              <w:divBdr>
                                                <w:top w:val="none" w:sz="0" w:space="0" w:color="auto"/>
                                                <w:left w:val="none" w:sz="0" w:space="0" w:color="auto"/>
                                                <w:bottom w:val="none" w:sz="0" w:space="0" w:color="auto"/>
                                                <w:right w:val="none" w:sz="0" w:space="0" w:color="auto"/>
                                              </w:divBdr>
                                              <w:divsChild>
                                                <w:div w:id="107081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nb.bg/BankSupervision/BSCapitalBuffers/BSCBCountercyclical/index.ht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AD6176-1B41-4A8D-88F4-8CBEBAF369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627</Words>
  <Characters>3578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ДОКЛАДНА ЗАПИСКА ДО УПРАВИТЕЛНИЯ СЪВЕТ</vt:lpstr>
    </vt:vector>
  </TitlesOfParts>
  <Company>Българска народна банка</Company>
  <LinksUpToDate>false</LinksUpToDate>
  <CharactersWithSpaces>4197</CharactersWithSpaces>
  <SharedDoc>false</SharedDoc>
  <HLinks>
    <vt:vector size="6" baseType="variant">
      <vt:variant>
        <vt:i4>7274539</vt:i4>
      </vt:variant>
      <vt:variant>
        <vt:i4>1024</vt:i4>
      </vt:variant>
      <vt:variant>
        <vt:i4>1025</vt:i4>
      </vt:variant>
      <vt:variant>
        <vt:i4>1</vt:i4>
      </vt:variant>
      <vt:variant>
        <vt:lpwstr>!s5-7,9-10</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ДОКЛАДНА ЗАПИСКА ДО УПРАВИТЕЛНИЯ СЪВЕТ</dc:title>
  <dc:creator>Стефан Кръстанов</dc:creator>
  <cp:lastModifiedBy>Биляна Борисова</cp:lastModifiedBy>
  <cp:revision>12</cp:revision>
  <cp:lastPrinted>2020-06-23T11:58:00Z</cp:lastPrinted>
  <dcterms:created xsi:type="dcterms:W3CDTF">2023-09-26T10:52:00Z</dcterms:created>
  <dcterms:modified xsi:type="dcterms:W3CDTF">2024-03-28T14:18:00Z</dcterms:modified>
</cp:coreProperties>
</file>