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507" w:rsidRPr="006312F6" w:rsidRDefault="00704507" w:rsidP="007632EE">
      <w:pPr>
        <w:pStyle w:val="01-PRESSRELEASE"/>
      </w:pPr>
      <w:r w:rsidRPr="006312F6">
        <w:t>ПРЕССЪОБЩЕНИЕ</w:t>
      </w:r>
    </w:p>
    <w:p w:rsidR="00704507" w:rsidRPr="002F1503" w:rsidRDefault="00704507" w:rsidP="007632EE">
      <w:pPr>
        <w:pStyle w:val="02-DATE"/>
        <w:rPr>
          <w:lang w:eastAsia="bg-BG"/>
        </w:rPr>
      </w:pPr>
      <w:r>
        <w:rPr>
          <w:lang w:eastAsia="bg-BG"/>
        </w:rPr>
        <w:t>11</w:t>
      </w:r>
      <w:r w:rsidRPr="00426F1A">
        <w:rPr>
          <w:lang w:val="ru-RU" w:eastAsia="bg-BG"/>
        </w:rPr>
        <w:t xml:space="preserve"> </w:t>
      </w:r>
      <w:r>
        <w:rPr>
          <w:lang w:eastAsia="bg-BG"/>
        </w:rPr>
        <w:t>декември</w:t>
      </w:r>
      <w:r w:rsidRPr="006312F6">
        <w:rPr>
          <w:lang w:eastAsia="bg-BG"/>
        </w:rPr>
        <w:t xml:space="preserve"> 20</w:t>
      </w:r>
      <w:r>
        <w:rPr>
          <w:lang w:eastAsia="bg-BG"/>
        </w:rPr>
        <w:t>23</w:t>
      </w:r>
      <w:r w:rsidRPr="006312F6">
        <w:rPr>
          <w:lang w:eastAsia="bg-BG"/>
        </w:rPr>
        <w:t xml:space="preserve"> г.</w:t>
      </w:r>
    </w:p>
    <w:p w:rsidR="00704507" w:rsidRPr="007632EE" w:rsidRDefault="00704507" w:rsidP="007807EE">
      <w:pPr>
        <w:pStyle w:val="03-TITLE"/>
        <w:rPr>
          <w:lang w:eastAsia="bg-BG"/>
        </w:rPr>
      </w:pPr>
      <w:bookmarkStart w:id="0" w:name="_GoBack"/>
      <w:bookmarkEnd w:id="0"/>
      <w:r w:rsidRPr="007632EE">
        <w:rPr>
          <w:lang w:eastAsia="bg-BG"/>
        </w:rPr>
        <w:t>Управителният съвет на БНБ потвърди нивото на</w:t>
      </w:r>
      <w:r w:rsidR="00FE758D">
        <w:rPr>
          <w:lang w:val="en-US" w:eastAsia="bg-BG"/>
        </w:rPr>
        <w:t xml:space="preserve"> </w:t>
      </w:r>
      <w:r w:rsidRPr="007632EE">
        <w:rPr>
          <w:lang w:eastAsia="bg-BG"/>
        </w:rPr>
        <w:t>буфера за системен риск</w:t>
      </w:r>
    </w:p>
    <w:p w:rsidR="00704507" w:rsidRDefault="00704507" w:rsidP="007807EE">
      <w:pPr>
        <w:pStyle w:val="04-TEXTFIRST"/>
      </w:pPr>
      <w:r w:rsidRPr="002F1503">
        <w:t>На проведено заседание Управителният съвет (УС) на БНБ определи на основание чл. 12</w:t>
      </w:r>
      <w:r>
        <w:t>, ал. 5, във връзка с чл. 12, ал. 1, 3 и 4 от</w:t>
      </w:r>
      <w:r w:rsidRPr="00426F1A">
        <w:rPr>
          <w:lang w:val="ru-RU"/>
        </w:rPr>
        <w:t xml:space="preserve"> Наредба № 8 на БНБ</w:t>
      </w:r>
      <w:r w:rsidRPr="002F1503">
        <w:t xml:space="preserve"> буфер за системен риск</w:t>
      </w:r>
      <w:r>
        <w:t xml:space="preserve"> в размер</w:t>
      </w:r>
      <w:r w:rsidRPr="002F1503">
        <w:t xml:space="preserve"> на 3%</w:t>
      </w:r>
      <w:r>
        <w:t xml:space="preserve"> за всички банки, приложим</w:t>
      </w:r>
      <w:r w:rsidRPr="002F1503">
        <w:t xml:space="preserve"> </w:t>
      </w:r>
      <w:r>
        <w:t>за всички</w:t>
      </w:r>
      <w:r w:rsidRPr="002F1503">
        <w:t xml:space="preserve"> експозиции </w:t>
      </w:r>
      <w:r>
        <w:t xml:space="preserve">в Република </w:t>
      </w:r>
      <w:r w:rsidRPr="002F1503">
        <w:t>България.</w:t>
      </w:r>
      <w:r w:rsidRPr="002F24C8">
        <w:rPr>
          <w:lang w:val="ru-RU"/>
        </w:rPr>
        <w:t xml:space="preserve"> </w:t>
      </w:r>
      <w:r>
        <w:t xml:space="preserve">Буферът за системен риск се прилага съобразно чл. 2 ал. 2 от </w:t>
      </w:r>
      <w:r w:rsidRPr="002D4E06">
        <w:t>Наредба № 8 на БНБ</w:t>
      </w:r>
      <w:r>
        <w:t xml:space="preserve"> на индивидуална и консолидирана основа.</w:t>
      </w:r>
      <w:r w:rsidRPr="002F1503">
        <w:t xml:space="preserve"> </w:t>
      </w:r>
      <w:r>
        <w:t xml:space="preserve">Текущият преглед на рисковете, произтичащи от структурните характеристики на банковия сектор, на </w:t>
      </w:r>
      <w:proofErr w:type="spellStart"/>
      <w:r>
        <w:t>вътрешноприсъщите</w:t>
      </w:r>
      <w:proofErr w:type="spellEnd"/>
      <w:r>
        <w:t xml:space="preserve"> за банковата дейност рискове и на рисковете от влиянието на външната среда показва запазване</w:t>
      </w:r>
      <w:r w:rsidRPr="00743F32">
        <w:rPr>
          <w:color w:val="000000" w:themeColor="text1"/>
        </w:rPr>
        <w:t xml:space="preserve"> на дългосрочни </w:t>
      </w:r>
      <w:proofErr w:type="spellStart"/>
      <w:r>
        <w:rPr>
          <w:color w:val="000000" w:themeColor="text1"/>
        </w:rPr>
        <w:t>макропруденциални</w:t>
      </w:r>
      <w:proofErr w:type="spellEnd"/>
      <w:r>
        <w:rPr>
          <w:color w:val="000000" w:themeColor="text1"/>
        </w:rPr>
        <w:t xml:space="preserve"> и системни </w:t>
      </w:r>
      <w:r w:rsidRPr="00743F32">
        <w:rPr>
          <w:color w:val="000000" w:themeColor="text1"/>
        </w:rPr>
        <w:t>рискове в банковия сектор</w:t>
      </w:r>
      <w:r>
        <w:rPr>
          <w:color w:val="000000" w:themeColor="text1"/>
        </w:rPr>
        <w:t xml:space="preserve">. Оценените рискови фактори остават непроменени, могат да имат усилващ ефект при </w:t>
      </w:r>
      <w:r w:rsidRPr="00743F32">
        <w:rPr>
          <w:color w:val="000000" w:themeColor="text1"/>
        </w:rPr>
        <w:t xml:space="preserve">потенциално </w:t>
      </w:r>
      <w:r>
        <w:rPr>
          <w:color w:val="000000" w:themeColor="text1"/>
        </w:rPr>
        <w:t>негативно</w:t>
      </w:r>
      <w:r w:rsidRPr="00743F32">
        <w:rPr>
          <w:color w:val="000000" w:themeColor="text1"/>
        </w:rPr>
        <w:t xml:space="preserve"> въздействие върху устойчивостта на банковата система</w:t>
      </w:r>
      <w:r>
        <w:rPr>
          <w:color w:val="000000" w:themeColor="text1"/>
        </w:rPr>
        <w:t xml:space="preserve">, което обуславя </w:t>
      </w:r>
      <w:r w:rsidRPr="00743F32">
        <w:rPr>
          <w:color w:val="000000" w:themeColor="text1"/>
        </w:rPr>
        <w:t>запазване на натрупания капиталов резерв</w:t>
      </w:r>
      <w:r>
        <w:rPr>
          <w:color w:val="000000" w:themeColor="text1"/>
        </w:rPr>
        <w:t xml:space="preserve"> чрез потвърждаване на нивото и обхвата на буфера за системен риск.</w:t>
      </w:r>
    </w:p>
    <w:p w:rsidR="00704507" w:rsidRDefault="00704507" w:rsidP="007807EE">
      <w:pPr>
        <w:pStyle w:val="05-TEXT"/>
      </w:pPr>
      <w:r w:rsidRPr="002F1503">
        <w:t>В съответствие с чл. 1</w:t>
      </w:r>
      <w:r>
        <w:t>2</w:t>
      </w:r>
      <w:r w:rsidRPr="002F1503">
        <w:t xml:space="preserve">, ал. </w:t>
      </w:r>
      <w:r>
        <w:t>6</w:t>
      </w:r>
      <w:r w:rsidRPr="002F1503">
        <w:t xml:space="preserve"> и 7 от Наредба № 8</w:t>
      </w:r>
      <w:r>
        <w:t xml:space="preserve"> на БНБ</w:t>
      </w:r>
      <w:r w:rsidRPr="002F1503">
        <w:t xml:space="preserve"> оповестяването на решени</w:t>
      </w:r>
      <w:r>
        <w:t>ето</w:t>
      </w:r>
      <w:r w:rsidRPr="002F1503">
        <w:t xml:space="preserve"> се извършва след уведомлението</w:t>
      </w:r>
      <w:r>
        <w:t xml:space="preserve"> до</w:t>
      </w:r>
      <w:r w:rsidRPr="002F1503">
        <w:t xml:space="preserve"> Европейския съвет за системен риск </w:t>
      </w:r>
      <w:r>
        <w:t>и</w:t>
      </w:r>
      <w:r w:rsidRPr="002F1503">
        <w:t xml:space="preserve"> компетентните и определените органи на съответните държави членки.</w:t>
      </w:r>
    </w:p>
    <w:p w:rsidR="00704507" w:rsidRPr="002F1503" w:rsidRDefault="00704507" w:rsidP="007807EE">
      <w:pPr>
        <w:pStyle w:val="05-TEXT"/>
      </w:pPr>
      <w:r w:rsidRPr="00E872C2">
        <w:t xml:space="preserve">Решението на УС на БНБ е взето при спазване на заложените процедури за </w:t>
      </w:r>
      <w:proofErr w:type="spellStart"/>
      <w:r w:rsidRPr="00E872C2">
        <w:t>макропруденциални</w:t>
      </w:r>
      <w:proofErr w:type="spellEnd"/>
      <w:r w:rsidRPr="00E872C2">
        <w:t xml:space="preserve"> инструменти с Европейската централна банка съобразно чл. 5 от Регламент (ЕС) № 1024/2013 на Съвета от 15 октомври 2013 година за възлагане на Европейската централна банка на конкретни задачи относно политиките, свързани с </w:t>
      </w:r>
      <w:proofErr w:type="spellStart"/>
      <w:r w:rsidRPr="00E872C2">
        <w:t>пруденциалния</w:t>
      </w:r>
      <w:proofErr w:type="spellEnd"/>
      <w:r w:rsidRPr="00E872C2">
        <w:t xml:space="preserve"> надзор над кредитните институции.</w:t>
      </w:r>
      <w:r w:rsidRPr="002F1503">
        <w:t xml:space="preserve"> </w:t>
      </w:r>
    </w:p>
    <w:p w:rsidR="0026326D" w:rsidRDefault="00704507" w:rsidP="007807EE">
      <w:pPr>
        <w:pStyle w:val="05-TEXT"/>
      </w:pPr>
      <w:r>
        <w:t>Разделът</w:t>
      </w:r>
      <w:r w:rsidRPr="002F1503">
        <w:t xml:space="preserve"> з</w:t>
      </w:r>
      <w:r w:rsidRPr="00B23D9E">
        <w:t xml:space="preserve">а </w:t>
      </w:r>
      <w:hyperlink r:id="rId4" w:history="1">
        <w:r w:rsidRPr="007807EE">
          <w:rPr>
            <w:rStyle w:val="Hyperlink"/>
            <w:rFonts w:cs="Arial"/>
            <w:color w:val="F79646" w:themeColor="accent6"/>
            <w:szCs w:val="20"/>
          </w:rPr>
          <w:t>буфера за системен риск</w:t>
        </w:r>
      </w:hyperlink>
      <w:r w:rsidRPr="00B23D9E">
        <w:t xml:space="preserve"> на ин</w:t>
      </w:r>
      <w:r w:rsidRPr="002F1503">
        <w:t xml:space="preserve">тернет страницата на БНБ </w:t>
      </w:r>
      <w:r>
        <w:t>е</w:t>
      </w:r>
      <w:r w:rsidRPr="002F1503">
        <w:t xml:space="preserve"> актуализиран съгласно взет</w:t>
      </w:r>
      <w:r>
        <w:t>ото</w:t>
      </w:r>
      <w:r w:rsidRPr="002F1503">
        <w:t xml:space="preserve"> решени</w:t>
      </w:r>
      <w:r>
        <w:t>е</w:t>
      </w:r>
      <w:r w:rsidRPr="002F1503">
        <w:t>.</w:t>
      </w:r>
    </w:p>
    <w:sectPr w:rsidR="0026326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604"/>
    <w:rsid w:val="00373FE5"/>
    <w:rsid w:val="00693DF4"/>
    <w:rsid w:val="00704507"/>
    <w:rsid w:val="007632EE"/>
    <w:rsid w:val="007807EE"/>
    <w:rsid w:val="00874604"/>
    <w:rsid w:val="00B0294C"/>
    <w:rsid w:val="00B23D9E"/>
    <w:rsid w:val="00D80B03"/>
    <w:rsid w:val="00DB0064"/>
    <w:rsid w:val="00FE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D4B6F4-FED2-4671-803B-B6FEB4F7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B03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0B03"/>
    <w:rPr>
      <w:color w:val="0000FF" w:themeColor="hyperlink"/>
      <w:u w:val="single"/>
    </w:rPr>
  </w:style>
  <w:style w:type="paragraph" w:customStyle="1" w:styleId="01-PRESSRELEASE">
    <w:name w:val="01-PRESSRELEASE"/>
    <w:next w:val="02-DATE"/>
    <w:rsid w:val="007632EE"/>
    <w:pPr>
      <w:spacing w:before="400" w:after="0" w:line="360" w:lineRule="auto"/>
      <w:jc w:val="center"/>
    </w:pPr>
    <w:rPr>
      <w:rFonts w:ascii="Arial" w:eastAsia="Times New Roman" w:hAnsi="Arial" w:cs="Times New Roman"/>
      <w:b/>
      <w:sz w:val="20"/>
      <w:szCs w:val="20"/>
      <w:lang w:val="bg-BG"/>
    </w:rPr>
  </w:style>
  <w:style w:type="paragraph" w:customStyle="1" w:styleId="02-DATE">
    <w:name w:val="02-DATE"/>
    <w:next w:val="Normal"/>
    <w:rsid w:val="007632EE"/>
    <w:pPr>
      <w:spacing w:after="0" w:line="360" w:lineRule="auto"/>
      <w:jc w:val="right"/>
    </w:pPr>
    <w:rPr>
      <w:rFonts w:ascii="Arial" w:eastAsia="Times New Roman" w:hAnsi="Arial" w:cs="Times New Roman"/>
      <w:b/>
      <w:sz w:val="20"/>
      <w:szCs w:val="20"/>
      <w:lang w:val="bg-BG"/>
    </w:rPr>
  </w:style>
  <w:style w:type="paragraph" w:customStyle="1" w:styleId="04-TEXTFIRST">
    <w:name w:val="04-TEXT FIRST"/>
    <w:basedOn w:val="Normal"/>
    <w:rsid w:val="007632EE"/>
    <w:pPr>
      <w:spacing w:before="200" w:after="0" w:line="360" w:lineRule="auto"/>
      <w:ind w:firstLine="227"/>
      <w:jc w:val="both"/>
    </w:pPr>
    <w:rPr>
      <w:rFonts w:ascii="Arial" w:eastAsia="Times New Roman" w:hAnsi="Arial" w:cs="Times New Roman"/>
      <w:sz w:val="20"/>
      <w:szCs w:val="24"/>
    </w:rPr>
  </w:style>
  <w:style w:type="paragraph" w:customStyle="1" w:styleId="03-TITLE">
    <w:name w:val="03-TITLE"/>
    <w:rsid w:val="007807EE"/>
    <w:pPr>
      <w:spacing w:before="80" w:after="160" w:line="240" w:lineRule="auto"/>
      <w:contextualSpacing/>
      <w:jc w:val="center"/>
    </w:pPr>
    <w:rPr>
      <w:rFonts w:ascii="Arial" w:eastAsia="Times New Roman" w:hAnsi="Arial" w:cs="Times New Roman"/>
      <w:b/>
      <w:sz w:val="20"/>
      <w:szCs w:val="20"/>
      <w:lang w:val="bg-BG"/>
    </w:rPr>
  </w:style>
  <w:style w:type="paragraph" w:customStyle="1" w:styleId="05-TEXT">
    <w:name w:val="05-TEXT"/>
    <w:link w:val="05-TEXTCharChar"/>
    <w:rsid w:val="007807EE"/>
    <w:pPr>
      <w:spacing w:after="0" w:line="360" w:lineRule="auto"/>
      <w:ind w:firstLine="227"/>
      <w:jc w:val="both"/>
    </w:pPr>
    <w:rPr>
      <w:rFonts w:ascii="Arial" w:eastAsia="Times New Roman" w:hAnsi="Arial" w:cs="Times New Roman"/>
      <w:sz w:val="20"/>
      <w:szCs w:val="24"/>
      <w:lang w:val="bg-BG"/>
    </w:rPr>
  </w:style>
  <w:style w:type="character" w:customStyle="1" w:styleId="05-TEXTCharChar">
    <w:name w:val="05-TEXT Char Char"/>
    <w:link w:val="05-TEXT"/>
    <w:rsid w:val="007807EE"/>
    <w:rPr>
      <w:rFonts w:ascii="Arial" w:eastAsia="Times New Roman" w:hAnsi="Arial" w:cs="Times New Roman"/>
      <w:sz w:val="20"/>
      <w:szCs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nb.bg/BankSupervision/BSCapitalBuffers/BSCBSystemicRiskBuffer/index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BNB</Company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Биляна Борисова</cp:lastModifiedBy>
  <cp:revision>8</cp:revision>
  <dcterms:created xsi:type="dcterms:W3CDTF">2021-11-29T12:27:00Z</dcterms:created>
  <dcterms:modified xsi:type="dcterms:W3CDTF">2023-12-11T12:31:00Z</dcterms:modified>
</cp:coreProperties>
</file>