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7C15" w:rsidRPr="00567C15" w:rsidRDefault="00567C15" w:rsidP="00567C15">
      <w:pPr>
        <w:pStyle w:val="01-PRESSRELEASE"/>
      </w:pPr>
      <w:r w:rsidRPr="00567C15">
        <w:t>PRESS RELEASE</w:t>
      </w:r>
    </w:p>
    <w:p w:rsidR="00567C15" w:rsidRPr="00D46F15" w:rsidRDefault="007B3341" w:rsidP="00567C15">
      <w:pPr>
        <w:pStyle w:val="02-DATE"/>
        <w:rPr>
          <w:lang w:val="en-US"/>
        </w:rPr>
      </w:pPr>
      <w:r>
        <w:t>16</w:t>
      </w:r>
      <w:r w:rsidR="00567C15" w:rsidRPr="006A1FEA">
        <w:t xml:space="preserve"> </w:t>
      </w:r>
      <w:r w:rsidR="001B3AA3">
        <w:rPr>
          <w:lang w:val="en-US"/>
        </w:rPr>
        <w:t>Dec</w:t>
      </w:r>
      <w:r>
        <w:rPr>
          <w:lang w:val="en-US"/>
        </w:rPr>
        <w:t>ember</w:t>
      </w:r>
      <w:r w:rsidR="00567C15">
        <w:t xml:space="preserve"> 202</w:t>
      </w:r>
      <w:r w:rsidR="00567C15">
        <w:rPr>
          <w:lang w:val="en-US"/>
        </w:rPr>
        <w:t>1</w:t>
      </w:r>
    </w:p>
    <w:p w:rsidR="001B3AA3" w:rsidRPr="001B3AA3" w:rsidRDefault="001B3AA3" w:rsidP="001B3AA3">
      <w:pPr>
        <w:pStyle w:val="04-TEXTFIRST"/>
        <w:rPr>
          <w:lang w:val="en-GB"/>
        </w:rPr>
      </w:pPr>
      <w:r w:rsidRPr="001B3AA3">
        <w:rPr>
          <w:lang w:val="en-GB"/>
        </w:rPr>
        <w:t>The BNB Governing Council increased the countercyclical capital buffer rate applicable to credit risk exposures in the Republic of Bulgaria at 1.5% in effect from 1 January 2023, under an assessment of the countercyclical capital buffer rate in pursuance with Article 5, paragraphs 3 and 4 of BNB Ordinance No. 8 on Capital Buffers, the Combined Buffer Requirement, Restrictions on Distributions and the Guidance on Additional Own Funds.</w:t>
      </w:r>
    </w:p>
    <w:p w:rsidR="001B3AA3" w:rsidRPr="001B3AA3" w:rsidRDefault="001B3AA3" w:rsidP="001B3AA3">
      <w:pPr>
        <w:pStyle w:val="04-TEXTFIRST"/>
        <w:rPr>
          <w:lang w:val="en-GB"/>
        </w:rPr>
      </w:pPr>
      <w:r w:rsidRPr="001B3AA3">
        <w:rPr>
          <w:lang w:val="en-GB"/>
        </w:rPr>
        <w:t>Pursuant to Article 5, paragraph 3 of the BNB Ordinance No.8, setting of the countercyclical buffer rate shall take into account the reference indicator, calculated in accordance with paragraph 1, the European Systemic Risk Board (ESRB) guidelines as well as other variables that BNB considers relevant for addressing the cyclical systemic risk. With regard to data related to the reference indicator for the countercyclical buffer, the credit-to-GDP ratio calculated according to the methodology published on the BNB website stood at 96.1% at the end of 2021 Q3. Its deviation from the long-term trend is negative (-29.5 pp), which corresponds to zero value of the reference indicator.</w:t>
      </w:r>
    </w:p>
    <w:p w:rsidR="001B3AA3" w:rsidRPr="001B3AA3" w:rsidRDefault="001B3AA3" w:rsidP="001B3AA3">
      <w:pPr>
        <w:pStyle w:val="04-TEXTFIRST"/>
        <w:rPr>
          <w:lang w:val="en-GB"/>
        </w:rPr>
      </w:pPr>
      <w:r w:rsidRPr="001B3AA3">
        <w:rPr>
          <w:lang w:val="en-GB"/>
        </w:rPr>
        <w:t>As the standardised measure for the deviation of the credit-to-GDP ratio from its long-term trend has limitations in measuring the intensity of cyclical risks, assessments with regard to the countercyclical buffer rate take into account additional indicators which are focused on developments in the credit market, indebtedness, real estate market as well as the general economic outlook.</w:t>
      </w:r>
    </w:p>
    <w:p w:rsidR="001B3AA3" w:rsidRPr="001B3AA3" w:rsidRDefault="001B3AA3" w:rsidP="001B3AA3">
      <w:pPr>
        <w:pStyle w:val="04-TEXTFIRST"/>
        <w:rPr>
          <w:lang w:val="en-GB"/>
        </w:rPr>
      </w:pPr>
      <w:r w:rsidRPr="001B3AA3">
        <w:rPr>
          <w:lang w:val="en-GB"/>
        </w:rPr>
        <w:t>Loans to households have been growing at elevated rates, in particular in the segment of loans for house purchase. If continued, the observed pace of credit growth against the background of the current level of real interest rates may give rise to higher level of indebtedness, which could have adverse impact on borrowers’ debt servicing capacity and lead to an increase of non-performing loans and impairments in the event of potential economic downturn. In response to these risks, on 16 September 2021 the BNB Governing Council increased the countercyclical capital buffer rate applicable to domestic credit risk exposures at 1.0% in effect from 1 October 2022, with the buffer rate remaining at its current 0.5% level until the end of 2022 Q3.</w:t>
      </w:r>
    </w:p>
    <w:p w:rsidR="007B3341" w:rsidRPr="001C74A4" w:rsidRDefault="001B3AA3" w:rsidP="001B3AA3">
      <w:pPr>
        <w:pStyle w:val="04-TEXTFIRST"/>
        <w:rPr>
          <w:lang w:val="en-GB"/>
        </w:rPr>
      </w:pPr>
      <w:r w:rsidRPr="001B3AA3">
        <w:rPr>
          <w:lang w:val="en-GB"/>
        </w:rPr>
        <w:t>The current practice of credit institutions to sustain high lending activity in the segments of residential real estate construction and loans secured by commercial and real estate, although justified in terms of individual credit decisions and covered by the existing liquidity and capital buffers of banks, has implications of systemic nature, which necessitates continuation of the proactive</w:t>
      </w:r>
      <w:bookmarkStart w:id="0" w:name="_GoBack"/>
      <w:bookmarkEnd w:id="0"/>
      <w:r w:rsidRPr="001B3AA3">
        <w:rPr>
          <w:lang w:val="en-GB"/>
        </w:rPr>
        <w:t xml:space="preserve"> policy strategy to build-up buffer capacity against cyclical risks. In view of the continuing elevated credit growth rates and given the uncertainty in the economic outlook, the increase of the countercyclical capital buffer rate from 1.0% to 1.5% in effect from 1 January 2023 is aimed at strengthening the resilience of the banking system to pressure on profitability and capital position caused by potential rise in non-performing loans and impairments. In accordance with Article 5, paragraph 5 of BNB Ordinance No. 8, the decision on the increase of the countercyclical buffer rate is announced 12 months before coming into effect.</w:t>
      </w:r>
    </w:p>
    <w:p w:rsidR="00B941AD" w:rsidRPr="001C74A4" w:rsidRDefault="00717552" w:rsidP="00765EDD">
      <w:pPr>
        <w:pStyle w:val="04-TEXTFIRST"/>
        <w:rPr>
          <w:lang w:val="en-GB"/>
        </w:rPr>
      </w:pPr>
      <w:r w:rsidRPr="001C74A4">
        <w:rPr>
          <w:lang w:val="en-GB"/>
        </w:rPr>
        <w:lastRenderedPageBreak/>
        <w:t xml:space="preserve">Further information about the methodology used and previous decisions is available on the BNB website under the section </w:t>
      </w:r>
      <w:hyperlink r:id="rId8" w:tgtFrame="_top" w:history="1">
        <w:r w:rsidR="007032EB" w:rsidRPr="00D60DCD">
          <w:rPr>
            <w:color w:val="FF0000"/>
            <w:lang w:val="en-GB"/>
          </w:rPr>
          <w:t>Capital Buffers</w:t>
        </w:r>
      </w:hyperlink>
      <w:bookmarkStart w:id="1" w:name="P6_457"/>
      <w:bookmarkEnd w:id="1"/>
      <w:r w:rsidR="007032EB" w:rsidRPr="001C74A4">
        <w:rPr>
          <w:lang w:val="en-GB"/>
        </w:rPr>
        <w:t>.</w:t>
      </w:r>
    </w:p>
    <w:sectPr w:rsidR="00B941AD" w:rsidRPr="001C74A4" w:rsidSect="00687A29">
      <w:headerReference w:type="default" r:id="rId9"/>
      <w:footerReference w:type="default" r:id="rId10"/>
      <w:headerReference w:type="first" r:id="rId11"/>
      <w:pgSz w:w="11906" w:h="16838" w:code="9"/>
      <w:pgMar w:top="1438" w:right="851" w:bottom="1440" w:left="1418" w:header="357" w:footer="563"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5783" w:rsidRDefault="00245783">
      <w:r>
        <w:separator/>
      </w:r>
    </w:p>
  </w:endnote>
  <w:endnote w:type="continuationSeparator" w:id="0">
    <w:p w:rsidR="00245783" w:rsidRDefault="002457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7A29" w:rsidRDefault="00687A29" w:rsidP="00687A29">
    <w:pPr>
      <w:pStyle w:val="Footer"/>
      <w:jc w:val="right"/>
    </w:pPr>
    <w:r>
      <w:t xml:space="preserve">с. </w:t>
    </w:r>
    <w:r>
      <w:fldChar w:fldCharType="begin"/>
    </w:r>
    <w:r>
      <w:instrText xml:space="preserve"> PAGE   \* MERGEFORMAT </w:instrText>
    </w:r>
    <w:r>
      <w:fldChar w:fldCharType="separate"/>
    </w:r>
    <w:r w:rsidR="001B3AA3">
      <w:rPr>
        <w:noProof/>
      </w:rPr>
      <w:t>2</w:t>
    </w:r>
    <w:r>
      <w:fldChar w:fldCharType="end"/>
    </w:r>
    <w:r>
      <w:t>/</w:t>
    </w:r>
    <w:r w:rsidR="009A3747">
      <w:rPr>
        <w:noProof/>
      </w:rPr>
      <w:fldChar w:fldCharType="begin"/>
    </w:r>
    <w:r w:rsidR="009A3747">
      <w:rPr>
        <w:noProof/>
      </w:rPr>
      <w:instrText xml:space="preserve"> NUMPAGES   \* MERGEFORMAT </w:instrText>
    </w:r>
    <w:r w:rsidR="009A3747">
      <w:rPr>
        <w:noProof/>
      </w:rPr>
      <w:fldChar w:fldCharType="separate"/>
    </w:r>
    <w:r w:rsidR="001B3AA3">
      <w:rPr>
        <w:noProof/>
      </w:rPr>
      <w:t>2</w:t>
    </w:r>
    <w:r w:rsidR="009A3747">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5783" w:rsidRDefault="00245783">
      <w:r>
        <w:separator/>
      </w:r>
    </w:p>
  </w:footnote>
  <w:footnote w:type="continuationSeparator" w:id="0">
    <w:p w:rsidR="00245783" w:rsidRDefault="0024578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2333" w:rsidRDefault="002F2333">
    <w:pPr>
      <w:pStyle w:val="Header"/>
      <w:tabs>
        <w:tab w:val="center" w:pos="-180"/>
      </w:tabs>
      <w:jc w:val="center"/>
      <w:rPr>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7C15" w:rsidRDefault="00567C15">
    <w:pPr>
      <w:pStyle w:val="Header"/>
    </w:pPr>
    <w:r w:rsidRPr="00636BB8">
      <w:rPr>
        <w:rFonts w:ascii="Calibri" w:hAnsi="Calibri"/>
        <w:noProof/>
        <w:szCs w:val="22"/>
      </w:rPr>
      <w:drawing>
        <wp:inline distT="0" distB="0" distL="0" distR="0">
          <wp:extent cx="6057900" cy="1061384"/>
          <wp:effectExtent l="0" t="0" r="0" b="5715"/>
          <wp:docPr id="1" name="Picture 1" descr="BNB_logo_PR_2018_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NB_logo_PR_2018_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93656" cy="1067649"/>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EB1A0A"/>
    <w:multiLevelType w:val="multilevel"/>
    <w:tmpl w:val="0402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514E728A"/>
    <w:multiLevelType w:val="hybridMultilevel"/>
    <w:tmpl w:val="EC18FAFE"/>
    <w:lvl w:ilvl="0" w:tplc="0402000F">
      <w:start w:val="1"/>
      <w:numFmt w:val="decimal"/>
      <w:lvlText w:val="%1."/>
      <w:lvlJc w:val="left"/>
      <w:pPr>
        <w:ind w:left="1287" w:hanging="360"/>
      </w:pPr>
    </w:lvl>
    <w:lvl w:ilvl="1" w:tplc="04020019" w:tentative="1">
      <w:start w:val="1"/>
      <w:numFmt w:val="lowerLetter"/>
      <w:lvlText w:val="%2."/>
      <w:lvlJc w:val="left"/>
      <w:pPr>
        <w:ind w:left="2007" w:hanging="360"/>
      </w:pPr>
    </w:lvl>
    <w:lvl w:ilvl="2" w:tplc="0402001B" w:tentative="1">
      <w:start w:val="1"/>
      <w:numFmt w:val="lowerRoman"/>
      <w:lvlText w:val="%3."/>
      <w:lvlJc w:val="right"/>
      <w:pPr>
        <w:ind w:left="2727" w:hanging="180"/>
      </w:pPr>
    </w:lvl>
    <w:lvl w:ilvl="3" w:tplc="0402000F" w:tentative="1">
      <w:start w:val="1"/>
      <w:numFmt w:val="decimal"/>
      <w:lvlText w:val="%4."/>
      <w:lvlJc w:val="left"/>
      <w:pPr>
        <w:ind w:left="3447" w:hanging="360"/>
      </w:pPr>
    </w:lvl>
    <w:lvl w:ilvl="4" w:tplc="04020019" w:tentative="1">
      <w:start w:val="1"/>
      <w:numFmt w:val="lowerLetter"/>
      <w:lvlText w:val="%5."/>
      <w:lvlJc w:val="left"/>
      <w:pPr>
        <w:ind w:left="4167" w:hanging="360"/>
      </w:pPr>
    </w:lvl>
    <w:lvl w:ilvl="5" w:tplc="0402001B" w:tentative="1">
      <w:start w:val="1"/>
      <w:numFmt w:val="lowerRoman"/>
      <w:lvlText w:val="%6."/>
      <w:lvlJc w:val="right"/>
      <w:pPr>
        <w:ind w:left="4887" w:hanging="180"/>
      </w:pPr>
    </w:lvl>
    <w:lvl w:ilvl="6" w:tplc="0402000F" w:tentative="1">
      <w:start w:val="1"/>
      <w:numFmt w:val="decimal"/>
      <w:lvlText w:val="%7."/>
      <w:lvlJc w:val="left"/>
      <w:pPr>
        <w:ind w:left="5607" w:hanging="360"/>
      </w:pPr>
    </w:lvl>
    <w:lvl w:ilvl="7" w:tplc="04020019" w:tentative="1">
      <w:start w:val="1"/>
      <w:numFmt w:val="lowerLetter"/>
      <w:lvlText w:val="%8."/>
      <w:lvlJc w:val="left"/>
      <w:pPr>
        <w:ind w:left="6327" w:hanging="360"/>
      </w:pPr>
    </w:lvl>
    <w:lvl w:ilvl="8" w:tplc="0402001B" w:tentative="1">
      <w:start w:val="1"/>
      <w:numFmt w:val="lowerRoman"/>
      <w:lvlText w:val="%9."/>
      <w:lvlJc w:val="right"/>
      <w:pPr>
        <w:ind w:left="7047" w:hanging="180"/>
      </w:pPr>
    </w:lvl>
  </w:abstractNum>
  <w:abstractNum w:abstractNumId="2" w15:restartNumberingAfterBreak="0">
    <w:nsid w:val="590321AD"/>
    <w:multiLevelType w:val="hybridMultilevel"/>
    <w:tmpl w:val="0BE4A8A6"/>
    <w:lvl w:ilvl="0" w:tplc="6096CAF0">
      <w:start w:val="1"/>
      <w:numFmt w:val="decimal"/>
      <w:lvlText w:val="%1."/>
      <w:lvlJc w:val="left"/>
      <w:pPr>
        <w:ind w:left="1211" w:hanging="360"/>
      </w:pPr>
      <w:rPr>
        <w:rFonts w:hint="default"/>
      </w:rPr>
    </w:lvl>
    <w:lvl w:ilvl="1" w:tplc="0402000F">
      <w:start w:val="1"/>
      <w:numFmt w:val="decimal"/>
      <w:lvlText w:val="%2."/>
      <w:lvlJc w:val="left"/>
      <w:pPr>
        <w:ind w:left="1931" w:hanging="360"/>
      </w:pPr>
    </w:lvl>
    <w:lvl w:ilvl="2" w:tplc="0402001B" w:tentative="1">
      <w:start w:val="1"/>
      <w:numFmt w:val="lowerRoman"/>
      <w:lvlText w:val="%3."/>
      <w:lvlJc w:val="right"/>
      <w:pPr>
        <w:ind w:left="2651" w:hanging="180"/>
      </w:pPr>
    </w:lvl>
    <w:lvl w:ilvl="3" w:tplc="0402000F" w:tentative="1">
      <w:start w:val="1"/>
      <w:numFmt w:val="decimal"/>
      <w:lvlText w:val="%4."/>
      <w:lvlJc w:val="left"/>
      <w:pPr>
        <w:ind w:left="3371" w:hanging="360"/>
      </w:pPr>
    </w:lvl>
    <w:lvl w:ilvl="4" w:tplc="04020019" w:tentative="1">
      <w:start w:val="1"/>
      <w:numFmt w:val="lowerLetter"/>
      <w:lvlText w:val="%5."/>
      <w:lvlJc w:val="left"/>
      <w:pPr>
        <w:ind w:left="4091" w:hanging="360"/>
      </w:pPr>
    </w:lvl>
    <w:lvl w:ilvl="5" w:tplc="0402001B" w:tentative="1">
      <w:start w:val="1"/>
      <w:numFmt w:val="lowerRoman"/>
      <w:lvlText w:val="%6."/>
      <w:lvlJc w:val="right"/>
      <w:pPr>
        <w:ind w:left="4811" w:hanging="180"/>
      </w:pPr>
    </w:lvl>
    <w:lvl w:ilvl="6" w:tplc="0402000F" w:tentative="1">
      <w:start w:val="1"/>
      <w:numFmt w:val="decimal"/>
      <w:lvlText w:val="%7."/>
      <w:lvlJc w:val="left"/>
      <w:pPr>
        <w:ind w:left="5531" w:hanging="360"/>
      </w:pPr>
    </w:lvl>
    <w:lvl w:ilvl="7" w:tplc="04020019" w:tentative="1">
      <w:start w:val="1"/>
      <w:numFmt w:val="lowerLetter"/>
      <w:lvlText w:val="%8."/>
      <w:lvlJc w:val="left"/>
      <w:pPr>
        <w:ind w:left="6251" w:hanging="360"/>
      </w:pPr>
    </w:lvl>
    <w:lvl w:ilvl="8" w:tplc="0402001B" w:tentative="1">
      <w:start w:val="1"/>
      <w:numFmt w:val="lowerRoman"/>
      <w:lvlText w:val="%9."/>
      <w:lvlJc w:val="right"/>
      <w:pPr>
        <w:ind w:left="6971"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4F94"/>
    <w:rsid w:val="00001C2C"/>
    <w:rsid w:val="000058F4"/>
    <w:rsid w:val="000146F5"/>
    <w:rsid w:val="000175F6"/>
    <w:rsid w:val="00020921"/>
    <w:rsid w:val="0004284D"/>
    <w:rsid w:val="000560BB"/>
    <w:rsid w:val="00074490"/>
    <w:rsid w:val="00080ECF"/>
    <w:rsid w:val="00084066"/>
    <w:rsid w:val="000852F1"/>
    <w:rsid w:val="00091CC9"/>
    <w:rsid w:val="00092F29"/>
    <w:rsid w:val="00094C6E"/>
    <w:rsid w:val="00095EBC"/>
    <w:rsid w:val="0009698F"/>
    <w:rsid w:val="00097AD2"/>
    <w:rsid w:val="000A094A"/>
    <w:rsid w:val="000A5415"/>
    <w:rsid w:val="000B0246"/>
    <w:rsid w:val="000B02AA"/>
    <w:rsid w:val="000B39A8"/>
    <w:rsid w:val="000B56F5"/>
    <w:rsid w:val="000C1BCF"/>
    <w:rsid w:val="000D1E2D"/>
    <w:rsid w:val="000D2F46"/>
    <w:rsid w:val="000D4FF0"/>
    <w:rsid w:val="000E7590"/>
    <w:rsid w:val="000F04B4"/>
    <w:rsid w:val="001000F9"/>
    <w:rsid w:val="0010112E"/>
    <w:rsid w:val="00101F86"/>
    <w:rsid w:val="0010250E"/>
    <w:rsid w:val="0010486F"/>
    <w:rsid w:val="00105587"/>
    <w:rsid w:val="001067EB"/>
    <w:rsid w:val="00115386"/>
    <w:rsid w:val="00117B34"/>
    <w:rsid w:val="00122977"/>
    <w:rsid w:val="0013087E"/>
    <w:rsid w:val="0013107F"/>
    <w:rsid w:val="00140A54"/>
    <w:rsid w:val="00140D1B"/>
    <w:rsid w:val="0014161F"/>
    <w:rsid w:val="001470AB"/>
    <w:rsid w:val="0014790D"/>
    <w:rsid w:val="0015343F"/>
    <w:rsid w:val="00154542"/>
    <w:rsid w:val="00156D4C"/>
    <w:rsid w:val="0015716C"/>
    <w:rsid w:val="001677D4"/>
    <w:rsid w:val="00170B11"/>
    <w:rsid w:val="001732C3"/>
    <w:rsid w:val="00175278"/>
    <w:rsid w:val="0017593A"/>
    <w:rsid w:val="0018431A"/>
    <w:rsid w:val="00190AD1"/>
    <w:rsid w:val="001B3AA3"/>
    <w:rsid w:val="001B74F6"/>
    <w:rsid w:val="001C74A4"/>
    <w:rsid w:val="001D1749"/>
    <w:rsid w:val="001D2EFC"/>
    <w:rsid w:val="001E340D"/>
    <w:rsid w:val="001E69A2"/>
    <w:rsid w:val="001E718D"/>
    <w:rsid w:val="001F7307"/>
    <w:rsid w:val="001F73E5"/>
    <w:rsid w:val="001F7C36"/>
    <w:rsid w:val="00200F75"/>
    <w:rsid w:val="00210180"/>
    <w:rsid w:val="002228F8"/>
    <w:rsid w:val="00223FA1"/>
    <w:rsid w:val="00233666"/>
    <w:rsid w:val="00235BF8"/>
    <w:rsid w:val="00245783"/>
    <w:rsid w:val="00254C39"/>
    <w:rsid w:val="00262E64"/>
    <w:rsid w:val="0026707C"/>
    <w:rsid w:val="00274C5A"/>
    <w:rsid w:val="00281655"/>
    <w:rsid w:val="002902F5"/>
    <w:rsid w:val="00295240"/>
    <w:rsid w:val="002A214D"/>
    <w:rsid w:val="002A2A49"/>
    <w:rsid w:val="002A42B8"/>
    <w:rsid w:val="002A44C2"/>
    <w:rsid w:val="002A46E6"/>
    <w:rsid w:val="002A7FD9"/>
    <w:rsid w:val="002B62A6"/>
    <w:rsid w:val="002B7470"/>
    <w:rsid w:val="002C268D"/>
    <w:rsid w:val="002C652E"/>
    <w:rsid w:val="002C7472"/>
    <w:rsid w:val="002C7D6F"/>
    <w:rsid w:val="002D0173"/>
    <w:rsid w:val="002D09AA"/>
    <w:rsid w:val="002D291F"/>
    <w:rsid w:val="002D59E8"/>
    <w:rsid w:val="002E6065"/>
    <w:rsid w:val="002E7F40"/>
    <w:rsid w:val="002F2333"/>
    <w:rsid w:val="002F5920"/>
    <w:rsid w:val="002F79F8"/>
    <w:rsid w:val="003051AB"/>
    <w:rsid w:val="00306E59"/>
    <w:rsid w:val="003209D9"/>
    <w:rsid w:val="0032134C"/>
    <w:rsid w:val="00334E49"/>
    <w:rsid w:val="003372F3"/>
    <w:rsid w:val="003373B4"/>
    <w:rsid w:val="00342816"/>
    <w:rsid w:val="00346376"/>
    <w:rsid w:val="0035149A"/>
    <w:rsid w:val="0035647C"/>
    <w:rsid w:val="00370C41"/>
    <w:rsid w:val="00375D0D"/>
    <w:rsid w:val="00380BB0"/>
    <w:rsid w:val="00382973"/>
    <w:rsid w:val="003858EF"/>
    <w:rsid w:val="003876EE"/>
    <w:rsid w:val="00390360"/>
    <w:rsid w:val="003A03CB"/>
    <w:rsid w:val="003A1231"/>
    <w:rsid w:val="003A4EFC"/>
    <w:rsid w:val="003B0353"/>
    <w:rsid w:val="003B1432"/>
    <w:rsid w:val="003B2844"/>
    <w:rsid w:val="003C2581"/>
    <w:rsid w:val="003D2BFF"/>
    <w:rsid w:val="003D590D"/>
    <w:rsid w:val="003D680D"/>
    <w:rsid w:val="003F28FA"/>
    <w:rsid w:val="003F3006"/>
    <w:rsid w:val="003F5FEE"/>
    <w:rsid w:val="003F7918"/>
    <w:rsid w:val="003F7C0A"/>
    <w:rsid w:val="00402387"/>
    <w:rsid w:val="00404386"/>
    <w:rsid w:val="00410C1E"/>
    <w:rsid w:val="004164A9"/>
    <w:rsid w:val="0042160C"/>
    <w:rsid w:val="00423825"/>
    <w:rsid w:val="00423D46"/>
    <w:rsid w:val="004312CB"/>
    <w:rsid w:val="00433146"/>
    <w:rsid w:val="00434690"/>
    <w:rsid w:val="00434D8C"/>
    <w:rsid w:val="004364FF"/>
    <w:rsid w:val="00436D05"/>
    <w:rsid w:val="00436FA3"/>
    <w:rsid w:val="0043735E"/>
    <w:rsid w:val="00437F92"/>
    <w:rsid w:val="00440E00"/>
    <w:rsid w:val="004449DF"/>
    <w:rsid w:val="00447FF2"/>
    <w:rsid w:val="00460471"/>
    <w:rsid w:val="00461293"/>
    <w:rsid w:val="004771E7"/>
    <w:rsid w:val="00483C8F"/>
    <w:rsid w:val="00487754"/>
    <w:rsid w:val="004A69FF"/>
    <w:rsid w:val="004A6A1C"/>
    <w:rsid w:val="004B004F"/>
    <w:rsid w:val="004B181A"/>
    <w:rsid w:val="004B7321"/>
    <w:rsid w:val="004C2467"/>
    <w:rsid w:val="004D0786"/>
    <w:rsid w:val="004E03DA"/>
    <w:rsid w:val="004E07F8"/>
    <w:rsid w:val="004E437C"/>
    <w:rsid w:val="004F3824"/>
    <w:rsid w:val="005057AE"/>
    <w:rsid w:val="0051153E"/>
    <w:rsid w:val="00525DF2"/>
    <w:rsid w:val="00526206"/>
    <w:rsid w:val="005347E8"/>
    <w:rsid w:val="00535D29"/>
    <w:rsid w:val="00535ED6"/>
    <w:rsid w:val="00550EF1"/>
    <w:rsid w:val="0055674F"/>
    <w:rsid w:val="00557104"/>
    <w:rsid w:val="0056131E"/>
    <w:rsid w:val="00567C15"/>
    <w:rsid w:val="0057455F"/>
    <w:rsid w:val="0058212D"/>
    <w:rsid w:val="00590F76"/>
    <w:rsid w:val="0059269E"/>
    <w:rsid w:val="00597E82"/>
    <w:rsid w:val="005A0334"/>
    <w:rsid w:val="005A0496"/>
    <w:rsid w:val="005A0FB1"/>
    <w:rsid w:val="005A5C8F"/>
    <w:rsid w:val="005B4CC7"/>
    <w:rsid w:val="005B76B4"/>
    <w:rsid w:val="005C2730"/>
    <w:rsid w:val="005D7748"/>
    <w:rsid w:val="005E6ED5"/>
    <w:rsid w:val="005F4F94"/>
    <w:rsid w:val="005F54FB"/>
    <w:rsid w:val="00600078"/>
    <w:rsid w:val="006108DB"/>
    <w:rsid w:val="0062195F"/>
    <w:rsid w:val="00622DB5"/>
    <w:rsid w:val="00625977"/>
    <w:rsid w:val="00633F21"/>
    <w:rsid w:val="0063591C"/>
    <w:rsid w:val="00637935"/>
    <w:rsid w:val="0064061D"/>
    <w:rsid w:val="00640632"/>
    <w:rsid w:val="0064790E"/>
    <w:rsid w:val="00656420"/>
    <w:rsid w:val="00662C12"/>
    <w:rsid w:val="006672B9"/>
    <w:rsid w:val="0067209B"/>
    <w:rsid w:val="00681039"/>
    <w:rsid w:val="006821BF"/>
    <w:rsid w:val="00687A29"/>
    <w:rsid w:val="00693131"/>
    <w:rsid w:val="006944B4"/>
    <w:rsid w:val="006A23CD"/>
    <w:rsid w:val="006A2E68"/>
    <w:rsid w:val="006A37E4"/>
    <w:rsid w:val="006A591C"/>
    <w:rsid w:val="006B0303"/>
    <w:rsid w:val="006B05EC"/>
    <w:rsid w:val="006B52CE"/>
    <w:rsid w:val="006C7834"/>
    <w:rsid w:val="006D0161"/>
    <w:rsid w:val="006D2FD4"/>
    <w:rsid w:val="006E3827"/>
    <w:rsid w:val="006E7493"/>
    <w:rsid w:val="007032EB"/>
    <w:rsid w:val="007040E0"/>
    <w:rsid w:val="00711483"/>
    <w:rsid w:val="007127FB"/>
    <w:rsid w:val="00717552"/>
    <w:rsid w:val="00717C6D"/>
    <w:rsid w:val="00720F44"/>
    <w:rsid w:val="0072745E"/>
    <w:rsid w:val="00734399"/>
    <w:rsid w:val="00737432"/>
    <w:rsid w:val="00751DFE"/>
    <w:rsid w:val="00753769"/>
    <w:rsid w:val="00760897"/>
    <w:rsid w:val="007609C6"/>
    <w:rsid w:val="00765B4D"/>
    <w:rsid w:val="00765EDD"/>
    <w:rsid w:val="00790046"/>
    <w:rsid w:val="007B3341"/>
    <w:rsid w:val="007B6207"/>
    <w:rsid w:val="007B6F5A"/>
    <w:rsid w:val="007C1AB9"/>
    <w:rsid w:val="007C4583"/>
    <w:rsid w:val="007C4727"/>
    <w:rsid w:val="007C773A"/>
    <w:rsid w:val="007E11D2"/>
    <w:rsid w:val="007E1DC5"/>
    <w:rsid w:val="007E420C"/>
    <w:rsid w:val="007E6033"/>
    <w:rsid w:val="008013D7"/>
    <w:rsid w:val="00803EB0"/>
    <w:rsid w:val="00814838"/>
    <w:rsid w:val="008249C8"/>
    <w:rsid w:val="00831118"/>
    <w:rsid w:val="00834D16"/>
    <w:rsid w:val="00840044"/>
    <w:rsid w:val="008402F5"/>
    <w:rsid w:val="008471CB"/>
    <w:rsid w:val="008519FF"/>
    <w:rsid w:val="00852547"/>
    <w:rsid w:val="00862DE1"/>
    <w:rsid w:val="008727EE"/>
    <w:rsid w:val="00880CF8"/>
    <w:rsid w:val="00880E1C"/>
    <w:rsid w:val="008832A5"/>
    <w:rsid w:val="00883C98"/>
    <w:rsid w:val="0088564D"/>
    <w:rsid w:val="00890027"/>
    <w:rsid w:val="0089215D"/>
    <w:rsid w:val="008946C2"/>
    <w:rsid w:val="008A4A03"/>
    <w:rsid w:val="008A6B58"/>
    <w:rsid w:val="008A6DB7"/>
    <w:rsid w:val="008B2367"/>
    <w:rsid w:val="008B6856"/>
    <w:rsid w:val="008C16D1"/>
    <w:rsid w:val="008D5882"/>
    <w:rsid w:val="008E2553"/>
    <w:rsid w:val="008F69C9"/>
    <w:rsid w:val="008F6DCC"/>
    <w:rsid w:val="008F70AC"/>
    <w:rsid w:val="008F782F"/>
    <w:rsid w:val="009002B0"/>
    <w:rsid w:val="0090056E"/>
    <w:rsid w:val="009067F2"/>
    <w:rsid w:val="00913669"/>
    <w:rsid w:val="009245FE"/>
    <w:rsid w:val="00925C50"/>
    <w:rsid w:val="0093334B"/>
    <w:rsid w:val="00933BE6"/>
    <w:rsid w:val="009377A1"/>
    <w:rsid w:val="009471AF"/>
    <w:rsid w:val="00962582"/>
    <w:rsid w:val="00963C04"/>
    <w:rsid w:val="00972637"/>
    <w:rsid w:val="0097759B"/>
    <w:rsid w:val="0098086E"/>
    <w:rsid w:val="00982BA0"/>
    <w:rsid w:val="00985BB2"/>
    <w:rsid w:val="0099267F"/>
    <w:rsid w:val="009A2733"/>
    <w:rsid w:val="009A3747"/>
    <w:rsid w:val="009B101A"/>
    <w:rsid w:val="009B1E22"/>
    <w:rsid w:val="009B321B"/>
    <w:rsid w:val="009C10F0"/>
    <w:rsid w:val="009C66BD"/>
    <w:rsid w:val="009D49E6"/>
    <w:rsid w:val="009D5902"/>
    <w:rsid w:val="009D6BA8"/>
    <w:rsid w:val="009F034C"/>
    <w:rsid w:val="009F43AD"/>
    <w:rsid w:val="009F79F8"/>
    <w:rsid w:val="00A0011D"/>
    <w:rsid w:val="00A008BF"/>
    <w:rsid w:val="00A017A2"/>
    <w:rsid w:val="00A165D9"/>
    <w:rsid w:val="00A32DD2"/>
    <w:rsid w:val="00A34BF3"/>
    <w:rsid w:val="00A45A90"/>
    <w:rsid w:val="00A54064"/>
    <w:rsid w:val="00A621F2"/>
    <w:rsid w:val="00A63123"/>
    <w:rsid w:val="00A66742"/>
    <w:rsid w:val="00A775A8"/>
    <w:rsid w:val="00A77EB2"/>
    <w:rsid w:val="00A85466"/>
    <w:rsid w:val="00A87787"/>
    <w:rsid w:val="00AA0C34"/>
    <w:rsid w:val="00AA2732"/>
    <w:rsid w:val="00AA6172"/>
    <w:rsid w:val="00AA61C2"/>
    <w:rsid w:val="00AB1002"/>
    <w:rsid w:val="00AC7574"/>
    <w:rsid w:val="00AC7A42"/>
    <w:rsid w:val="00AD1C8A"/>
    <w:rsid w:val="00AD5308"/>
    <w:rsid w:val="00AD7B2C"/>
    <w:rsid w:val="00AE08A0"/>
    <w:rsid w:val="00AE53CF"/>
    <w:rsid w:val="00AE6BFD"/>
    <w:rsid w:val="00AF5275"/>
    <w:rsid w:val="00AF743D"/>
    <w:rsid w:val="00B00989"/>
    <w:rsid w:val="00B01B46"/>
    <w:rsid w:val="00B02768"/>
    <w:rsid w:val="00B1699B"/>
    <w:rsid w:val="00B23060"/>
    <w:rsid w:val="00B3799F"/>
    <w:rsid w:val="00B37CB1"/>
    <w:rsid w:val="00B37D8C"/>
    <w:rsid w:val="00B413FC"/>
    <w:rsid w:val="00B43D0D"/>
    <w:rsid w:val="00B4439C"/>
    <w:rsid w:val="00B44FAE"/>
    <w:rsid w:val="00B47F23"/>
    <w:rsid w:val="00B516C0"/>
    <w:rsid w:val="00B5283C"/>
    <w:rsid w:val="00B55535"/>
    <w:rsid w:val="00B627C5"/>
    <w:rsid w:val="00B67CCF"/>
    <w:rsid w:val="00B71FFD"/>
    <w:rsid w:val="00B7345B"/>
    <w:rsid w:val="00B75464"/>
    <w:rsid w:val="00B75AA4"/>
    <w:rsid w:val="00B75B89"/>
    <w:rsid w:val="00B7773A"/>
    <w:rsid w:val="00B845BF"/>
    <w:rsid w:val="00B85EF0"/>
    <w:rsid w:val="00B8639B"/>
    <w:rsid w:val="00B901ED"/>
    <w:rsid w:val="00B932A4"/>
    <w:rsid w:val="00B941AD"/>
    <w:rsid w:val="00BA1DFE"/>
    <w:rsid w:val="00BA3406"/>
    <w:rsid w:val="00BC1049"/>
    <w:rsid w:val="00BC4BC7"/>
    <w:rsid w:val="00BC4F2C"/>
    <w:rsid w:val="00BC4F56"/>
    <w:rsid w:val="00BC50C7"/>
    <w:rsid w:val="00BC75AE"/>
    <w:rsid w:val="00BE5493"/>
    <w:rsid w:val="00BF2C1B"/>
    <w:rsid w:val="00BF3507"/>
    <w:rsid w:val="00BF35A5"/>
    <w:rsid w:val="00BF4094"/>
    <w:rsid w:val="00C06C65"/>
    <w:rsid w:val="00C073F5"/>
    <w:rsid w:val="00C074F1"/>
    <w:rsid w:val="00C138C3"/>
    <w:rsid w:val="00C13E06"/>
    <w:rsid w:val="00C2388E"/>
    <w:rsid w:val="00C25F8C"/>
    <w:rsid w:val="00C26613"/>
    <w:rsid w:val="00C27DAA"/>
    <w:rsid w:val="00C34855"/>
    <w:rsid w:val="00C3686D"/>
    <w:rsid w:val="00C51B4E"/>
    <w:rsid w:val="00C678D3"/>
    <w:rsid w:val="00C73A08"/>
    <w:rsid w:val="00C74144"/>
    <w:rsid w:val="00C7445D"/>
    <w:rsid w:val="00C75736"/>
    <w:rsid w:val="00C771E3"/>
    <w:rsid w:val="00C802C2"/>
    <w:rsid w:val="00C821EF"/>
    <w:rsid w:val="00C82C58"/>
    <w:rsid w:val="00C87511"/>
    <w:rsid w:val="00C94B3C"/>
    <w:rsid w:val="00C94C7D"/>
    <w:rsid w:val="00C96C49"/>
    <w:rsid w:val="00CA0597"/>
    <w:rsid w:val="00CB162C"/>
    <w:rsid w:val="00CB3D39"/>
    <w:rsid w:val="00CD09A9"/>
    <w:rsid w:val="00CD35B7"/>
    <w:rsid w:val="00CD4205"/>
    <w:rsid w:val="00CD4F32"/>
    <w:rsid w:val="00CD798C"/>
    <w:rsid w:val="00CE1873"/>
    <w:rsid w:val="00CE3E2A"/>
    <w:rsid w:val="00CE3E6B"/>
    <w:rsid w:val="00CE4BEA"/>
    <w:rsid w:val="00CF22C1"/>
    <w:rsid w:val="00CF48E3"/>
    <w:rsid w:val="00D00689"/>
    <w:rsid w:val="00D0137E"/>
    <w:rsid w:val="00D0428D"/>
    <w:rsid w:val="00D11895"/>
    <w:rsid w:val="00D137C9"/>
    <w:rsid w:val="00D1587F"/>
    <w:rsid w:val="00D20279"/>
    <w:rsid w:val="00D207AB"/>
    <w:rsid w:val="00D331CE"/>
    <w:rsid w:val="00D34FCE"/>
    <w:rsid w:val="00D416C8"/>
    <w:rsid w:val="00D4456B"/>
    <w:rsid w:val="00D50E35"/>
    <w:rsid w:val="00D53254"/>
    <w:rsid w:val="00D55B79"/>
    <w:rsid w:val="00D56A0B"/>
    <w:rsid w:val="00D5742D"/>
    <w:rsid w:val="00D60DCD"/>
    <w:rsid w:val="00D64D55"/>
    <w:rsid w:val="00D66009"/>
    <w:rsid w:val="00D66081"/>
    <w:rsid w:val="00D76532"/>
    <w:rsid w:val="00D80F5A"/>
    <w:rsid w:val="00D91240"/>
    <w:rsid w:val="00D9329C"/>
    <w:rsid w:val="00D964B8"/>
    <w:rsid w:val="00DA1F74"/>
    <w:rsid w:val="00DA45B5"/>
    <w:rsid w:val="00DB6036"/>
    <w:rsid w:val="00DB6720"/>
    <w:rsid w:val="00DC2AB4"/>
    <w:rsid w:val="00DD351A"/>
    <w:rsid w:val="00DD42CE"/>
    <w:rsid w:val="00DE54B3"/>
    <w:rsid w:val="00E0175F"/>
    <w:rsid w:val="00E04C3B"/>
    <w:rsid w:val="00E07C83"/>
    <w:rsid w:val="00E13B0C"/>
    <w:rsid w:val="00E172B1"/>
    <w:rsid w:val="00E175C7"/>
    <w:rsid w:val="00E25196"/>
    <w:rsid w:val="00E30C46"/>
    <w:rsid w:val="00E34B6D"/>
    <w:rsid w:val="00E3785A"/>
    <w:rsid w:val="00E42901"/>
    <w:rsid w:val="00E55C03"/>
    <w:rsid w:val="00E57312"/>
    <w:rsid w:val="00E57C66"/>
    <w:rsid w:val="00E65B32"/>
    <w:rsid w:val="00E661EC"/>
    <w:rsid w:val="00E67684"/>
    <w:rsid w:val="00E708D2"/>
    <w:rsid w:val="00E72CB1"/>
    <w:rsid w:val="00E92D16"/>
    <w:rsid w:val="00EA1762"/>
    <w:rsid w:val="00EA5A80"/>
    <w:rsid w:val="00EB02A0"/>
    <w:rsid w:val="00EB11EC"/>
    <w:rsid w:val="00EB4968"/>
    <w:rsid w:val="00EC0160"/>
    <w:rsid w:val="00EC6DBC"/>
    <w:rsid w:val="00ED18F1"/>
    <w:rsid w:val="00ED4D58"/>
    <w:rsid w:val="00EE0DBB"/>
    <w:rsid w:val="00EE6DC9"/>
    <w:rsid w:val="00EF57A5"/>
    <w:rsid w:val="00F07129"/>
    <w:rsid w:val="00F1026B"/>
    <w:rsid w:val="00F22F69"/>
    <w:rsid w:val="00F32FEE"/>
    <w:rsid w:val="00F33169"/>
    <w:rsid w:val="00F37006"/>
    <w:rsid w:val="00F45908"/>
    <w:rsid w:val="00F5022D"/>
    <w:rsid w:val="00F5498A"/>
    <w:rsid w:val="00F64B87"/>
    <w:rsid w:val="00F6778B"/>
    <w:rsid w:val="00F76849"/>
    <w:rsid w:val="00F8179E"/>
    <w:rsid w:val="00F925C2"/>
    <w:rsid w:val="00F977DF"/>
    <w:rsid w:val="00FA7354"/>
    <w:rsid w:val="00FB5F11"/>
    <w:rsid w:val="00FB634D"/>
    <w:rsid w:val="00FC6844"/>
    <w:rsid w:val="00FD2373"/>
    <w:rsid w:val="00FD3294"/>
    <w:rsid w:val="00FE7BEC"/>
    <w:rsid w:val="00FF10A2"/>
    <w:rsid w:val="00FF38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5:docId w15:val="{C30FB558-41B9-41BC-A72A-0A0D838EA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before="120" w:line="360" w:lineRule="auto"/>
      <w:ind w:firstLine="720"/>
      <w:jc w:val="both"/>
    </w:pPr>
    <w:rPr>
      <w:sz w:val="24"/>
      <w:lang w:val="bg-BG" w:eastAsia="bg-BG"/>
    </w:rPr>
  </w:style>
  <w:style w:type="paragraph" w:styleId="Heading1">
    <w:name w:val="heading 1"/>
    <w:basedOn w:val="Normal"/>
    <w:next w:val="Normal"/>
    <w:qFormat/>
    <w:pPr>
      <w:keepNext/>
      <w:keepLines/>
      <w:spacing w:before="240" w:after="60"/>
      <w:ind w:firstLine="0"/>
      <w:jc w:val="center"/>
      <w:outlineLvl w:val="0"/>
    </w:pPr>
    <w:rPr>
      <w:b/>
      <w:kern w:val="28"/>
      <w:sz w:val="28"/>
    </w:rPr>
  </w:style>
  <w:style w:type="paragraph" w:styleId="Heading2">
    <w:name w:val="heading 2"/>
    <w:basedOn w:val="Normal"/>
    <w:next w:val="Normal"/>
    <w:qFormat/>
    <w:pPr>
      <w:keepNext/>
      <w:keepLines/>
      <w:spacing w:before="240" w:after="60"/>
      <w:ind w:firstLine="0"/>
      <w:jc w:val="left"/>
      <w:outlineLvl w:val="1"/>
    </w:pPr>
    <w:rPr>
      <w:b/>
      <w:i/>
    </w:rPr>
  </w:style>
  <w:style w:type="paragraph" w:styleId="Heading3">
    <w:name w:val="heading 3"/>
    <w:basedOn w:val="Normal"/>
    <w:next w:val="Normal"/>
    <w:qFormat/>
    <w:pPr>
      <w:keepNext/>
      <w:spacing w:before="240" w:after="60"/>
      <w:ind w:firstLine="0"/>
      <w:jc w:val="left"/>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semiHidden/>
    <w:pPr>
      <w:tabs>
        <w:tab w:val="right" w:pos="10773"/>
      </w:tabs>
    </w:pPr>
    <w:rPr>
      <w:i/>
      <w:sz w:val="22"/>
      <w:lang w:val="bg-BG" w:eastAsia="bg-BG"/>
    </w:rPr>
  </w:style>
  <w:style w:type="paragraph" w:styleId="Footer">
    <w:name w:val="footer"/>
    <w:basedOn w:val="Header"/>
    <w:semiHidden/>
  </w:style>
  <w:style w:type="paragraph" w:styleId="BalloonText">
    <w:name w:val="Balloon Text"/>
    <w:basedOn w:val="Normal"/>
    <w:semiHidden/>
    <w:rPr>
      <w:rFonts w:ascii="Tahoma" w:hAnsi="Tahoma" w:cs="Tahoma"/>
      <w:sz w:val="16"/>
      <w:szCs w:val="16"/>
    </w:rPr>
  </w:style>
  <w:style w:type="character" w:customStyle="1" w:styleId="1">
    <w:name w:val="Основен текст1"/>
    <w:basedOn w:val="DefaultParagraphFont"/>
    <w:rPr>
      <w:rFonts w:ascii="Times New Roman" w:hAnsi="Times New Roman"/>
      <w:sz w:val="24"/>
    </w:rPr>
  </w:style>
  <w:style w:type="character" w:styleId="FootnoteReference">
    <w:name w:val="footnote reference"/>
    <w:basedOn w:val="DefaultParagraphFont"/>
    <w:semiHidden/>
    <w:rPr>
      <w:rFonts w:ascii="Times New Roman" w:hAnsi="Times New Roman"/>
      <w:sz w:val="18"/>
      <w:vertAlign w:val="superscript"/>
    </w:rPr>
  </w:style>
  <w:style w:type="paragraph" w:styleId="FootnoteText">
    <w:name w:val="footnote text"/>
    <w:semiHidden/>
    <w:pPr>
      <w:tabs>
        <w:tab w:val="left" w:pos="216"/>
      </w:tabs>
      <w:ind w:left="430" w:hanging="215"/>
    </w:pPr>
    <w:rPr>
      <w:lang w:val="bg-BG" w:eastAsia="bg-BG"/>
    </w:rPr>
  </w:style>
  <w:style w:type="paragraph" w:styleId="TOC1">
    <w:name w:val="toc 1"/>
    <w:next w:val="Normal"/>
    <w:semiHidden/>
    <w:pPr>
      <w:tabs>
        <w:tab w:val="right" w:leader="dot" w:pos="9638"/>
      </w:tabs>
      <w:spacing w:before="120"/>
    </w:pPr>
    <w:rPr>
      <w:rFonts w:ascii="Arial" w:hAnsi="Arial"/>
      <w:lang w:val="bg-BG" w:eastAsia="bg-BG"/>
    </w:rPr>
  </w:style>
  <w:style w:type="paragraph" w:styleId="TOC2">
    <w:name w:val="toc 2"/>
    <w:basedOn w:val="TOC1"/>
    <w:next w:val="Normal"/>
    <w:semiHidden/>
    <w:pPr>
      <w:spacing w:before="80"/>
      <w:ind w:left="238"/>
    </w:pPr>
  </w:style>
  <w:style w:type="paragraph" w:styleId="TOC3">
    <w:name w:val="toc 3"/>
    <w:basedOn w:val="TOC1"/>
    <w:next w:val="Normal"/>
    <w:semiHidden/>
    <w:pPr>
      <w:spacing w:before="40"/>
      <w:ind w:left="482"/>
    </w:pPr>
  </w:style>
  <w:style w:type="paragraph" w:styleId="TOC4">
    <w:name w:val="toc 4"/>
    <w:basedOn w:val="TOC1"/>
    <w:next w:val="Normal"/>
    <w:semiHidden/>
    <w:pPr>
      <w:spacing w:before="0"/>
      <w:ind w:left="720"/>
    </w:pPr>
  </w:style>
  <w:style w:type="paragraph" w:customStyle="1" w:styleId="a">
    <w:name w:val="БДС параграф"/>
    <w:pPr>
      <w:spacing w:line="480" w:lineRule="auto"/>
      <w:ind w:firstLine="720"/>
    </w:pPr>
    <w:rPr>
      <w:rFonts w:ascii="Arial" w:hAnsi="Arial"/>
      <w:sz w:val="24"/>
      <w:lang w:val="bg-BG" w:eastAsia="bg-BG"/>
    </w:rPr>
  </w:style>
  <w:style w:type="paragraph" w:customStyle="1" w:styleId="a0">
    <w:name w:val="Обикн. параграф"/>
    <w:basedOn w:val="Normal"/>
  </w:style>
  <w:style w:type="paragraph" w:customStyle="1" w:styleId="10">
    <w:name w:val="Заглавие 1 центрирано"/>
    <w:basedOn w:val="a0"/>
    <w:next w:val="a0"/>
    <w:pPr>
      <w:spacing w:before="240" w:after="60"/>
      <w:ind w:firstLine="0"/>
      <w:jc w:val="center"/>
    </w:pPr>
    <w:rPr>
      <w:b/>
      <w:sz w:val="28"/>
    </w:rPr>
  </w:style>
  <w:style w:type="paragraph" w:customStyle="1" w:styleId="11">
    <w:name w:val="Заглавие 1 ляво"/>
    <w:basedOn w:val="10"/>
    <w:next w:val="a0"/>
    <w:pPr>
      <w:jc w:val="left"/>
    </w:pPr>
  </w:style>
  <w:style w:type="paragraph" w:customStyle="1" w:styleId="2">
    <w:name w:val="Заглавие 2 центрирано"/>
    <w:basedOn w:val="10"/>
    <w:next w:val="a0"/>
    <w:rPr>
      <w:i/>
      <w:sz w:val="24"/>
    </w:rPr>
  </w:style>
  <w:style w:type="paragraph" w:customStyle="1" w:styleId="20">
    <w:name w:val="Заглавие 2 ляво"/>
    <w:basedOn w:val="2"/>
    <w:next w:val="a0"/>
    <w:pPr>
      <w:jc w:val="left"/>
    </w:pPr>
  </w:style>
  <w:style w:type="paragraph" w:customStyle="1" w:styleId="3">
    <w:name w:val="Заглавие 3 центрирано"/>
    <w:basedOn w:val="10"/>
    <w:next w:val="a0"/>
    <w:rPr>
      <w:sz w:val="24"/>
    </w:rPr>
  </w:style>
  <w:style w:type="paragraph" w:customStyle="1" w:styleId="30">
    <w:name w:val="Заглавие 3 ляво"/>
    <w:basedOn w:val="3"/>
    <w:next w:val="a0"/>
    <w:pPr>
      <w:jc w:val="left"/>
    </w:pPr>
  </w:style>
  <w:style w:type="paragraph" w:customStyle="1" w:styleId="a1">
    <w:name w:val="Заглавие на документа"/>
    <w:basedOn w:val="a0"/>
    <w:next w:val="a0"/>
    <w:pPr>
      <w:keepNext/>
      <w:keepLines/>
      <w:spacing w:before="0" w:after="960" w:line="480" w:lineRule="exact"/>
      <w:ind w:firstLine="0"/>
      <w:jc w:val="center"/>
    </w:pPr>
    <w:rPr>
      <w:b/>
      <w:sz w:val="32"/>
    </w:rPr>
  </w:style>
  <w:style w:type="paragraph" w:customStyle="1" w:styleId="a2">
    <w:name w:val="Обикн. пар. с продължение"/>
    <w:basedOn w:val="a0"/>
    <w:next w:val="a0"/>
    <w:pPr>
      <w:keepNext/>
    </w:pPr>
  </w:style>
  <w:style w:type="paragraph" w:customStyle="1" w:styleId="a3">
    <w:name w:val="Плътен параграф"/>
    <w:basedOn w:val="a0"/>
    <w:next w:val="a0"/>
    <w:pPr>
      <w:tabs>
        <w:tab w:val="left" w:pos="1701"/>
        <w:tab w:val="left" w:pos="3402"/>
        <w:tab w:val="left" w:pos="5103"/>
        <w:tab w:val="left" w:pos="6804"/>
        <w:tab w:val="left" w:pos="8505"/>
        <w:tab w:val="right" w:pos="9639"/>
      </w:tabs>
      <w:ind w:firstLine="0"/>
    </w:pPr>
  </w:style>
  <w:style w:type="paragraph" w:customStyle="1" w:styleId="12">
    <w:name w:val="Пар. с  12 см отстъп"/>
    <w:basedOn w:val="a3"/>
    <w:pPr>
      <w:tabs>
        <w:tab w:val="clear" w:pos="1701"/>
        <w:tab w:val="clear" w:pos="3402"/>
        <w:tab w:val="clear" w:pos="5103"/>
        <w:tab w:val="clear" w:pos="6804"/>
      </w:tabs>
      <w:spacing w:before="0"/>
      <w:ind w:left="6804"/>
    </w:pPr>
  </w:style>
  <w:style w:type="paragraph" w:customStyle="1" w:styleId="31">
    <w:name w:val="Пар. с  3 см отстъп"/>
    <w:basedOn w:val="a3"/>
    <w:pPr>
      <w:tabs>
        <w:tab w:val="clear" w:pos="1701"/>
      </w:tabs>
      <w:spacing w:before="0"/>
      <w:ind w:left="1701"/>
    </w:pPr>
  </w:style>
  <w:style w:type="paragraph" w:customStyle="1" w:styleId="6">
    <w:name w:val="Пар. с  6 см отстъп"/>
    <w:basedOn w:val="a3"/>
    <w:pPr>
      <w:tabs>
        <w:tab w:val="clear" w:pos="1701"/>
        <w:tab w:val="clear" w:pos="3402"/>
      </w:tabs>
      <w:spacing w:before="0"/>
      <w:ind w:left="3402"/>
    </w:pPr>
  </w:style>
  <w:style w:type="paragraph" w:customStyle="1" w:styleId="9">
    <w:name w:val="Пар. с  9 см отстъп"/>
    <w:basedOn w:val="a3"/>
    <w:pPr>
      <w:tabs>
        <w:tab w:val="clear" w:pos="1701"/>
        <w:tab w:val="clear" w:pos="3402"/>
        <w:tab w:val="clear" w:pos="5103"/>
      </w:tabs>
      <w:spacing w:before="0"/>
      <w:ind w:left="5103"/>
    </w:pPr>
  </w:style>
  <w:style w:type="paragraph" w:customStyle="1" w:styleId="a4">
    <w:name w:val="Плътен пар. с прод."/>
    <w:basedOn w:val="a3"/>
    <w:pPr>
      <w:keepNext/>
    </w:pPr>
  </w:style>
  <w:style w:type="paragraph" w:customStyle="1" w:styleId="1-">
    <w:name w:val="Списък 1-о ниво"/>
    <w:basedOn w:val="a0"/>
    <w:pPr>
      <w:tabs>
        <w:tab w:val="left" w:pos="1008"/>
      </w:tabs>
      <w:spacing w:before="60"/>
      <w:ind w:left="1296" w:hanging="288"/>
    </w:pPr>
  </w:style>
  <w:style w:type="paragraph" w:customStyle="1" w:styleId="2-">
    <w:name w:val="Списък 2-о ниво"/>
    <w:basedOn w:val="1-"/>
    <w:pPr>
      <w:tabs>
        <w:tab w:val="clear" w:pos="1008"/>
        <w:tab w:val="left" w:pos="1728"/>
      </w:tabs>
      <w:ind w:left="2017" w:hanging="289"/>
    </w:pPr>
  </w:style>
  <w:style w:type="paragraph" w:customStyle="1" w:styleId="3-">
    <w:name w:val="Списък 3-о ниво"/>
    <w:basedOn w:val="1-"/>
    <w:pPr>
      <w:tabs>
        <w:tab w:val="clear" w:pos="1008"/>
        <w:tab w:val="left" w:pos="2448"/>
      </w:tabs>
      <w:ind w:left="2737" w:hanging="289"/>
    </w:pPr>
  </w:style>
  <w:style w:type="paragraph" w:styleId="ListParagraph">
    <w:name w:val="List Paragraph"/>
    <w:basedOn w:val="Normal"/>
    <w:uiPriority w:val="34"/>
    <w:qFormat/>
    <w:rsid w:val="00D91240"/>
    <w:pPr>
      <w:spacing w:before="0" w:after="200" w:line="276" w:lineRule="auto"/>
      <w:ind w:left="720" w:firstLine="0"/>
      <w:contextualSpacing/>
      <w:jc w:val="left"/>
    </w:pPr>
    <w:rPr>
      <w:rFonts w:asciiTheme="minorHAnsi" w:eastAsiaTheme="minorHAnsi" w:hAnsiTheme="minorHAnsi" w:cstheme="minorBidi"/>
      <w:sz w:val="22"/>
      <w:szCs w:val="22"/>
      <w:lang w:eastAsia="en-US"/>
    </w:rPr>
  </w:style>
  <w:style w:type="character" w:styleId="Hyperlink">
    <w:name w:val="Hyperlink"/>
    <w:basedOn w:val="DefaultParagraphFont"/>
    <w:uiPriority w:val="99"/>
    <w:unhideWhenUsed/>
    <w:rsid w:val="002A7FD9"/>
    <w:rPr>
      <w:color w:val="0563C1" w:themeColor="hyperlink"/>
      <w:u w:val="single"/>
    </w:rPr>
  </w:style>
  <w:style w:type="paragraph" w:customStyle="1" w:styleId="04-TEXTFIRST">
    <w:name w:val="04-TEXT FIRST"/>
    <w:basedOn w:val="Normal"/>
    <w:rsid w:val="00E0175F"/>
    <w:pPr>
      <w:spacing w:before="200"/>
      <w:ind w:firstLine="227"/>
    </w:pPr>
    <w:rPr>
      <w:rFonts w:ascii="Arial" w:hAnsi="Arial"/>
      <w:sz w:val="20"/>
      <w:szCs w:val="24"/>
      <w:lang w:eastAsia="en-US"/>
    </w:rPr>
  </w:style>
  <w:style w:type="paragraph" w:styleId="NormalWeb">
    <w:name w:val="Normal (Web)"/>
    <w:basedOn w:val="Normal"/>
    <w:uiPriority w:val="99"/>
    <w:semiHidden/>
    <w:unhideWhenUsed/>
    <w:rsid w:val="007032EB"/>
    <w:pPr>
      <w:spacing w:before="100" w:beforeAutospacing="1" w:after="100" w:afterAutospacing="1" w:line="240" w:lineRule="auto"/>
      <w:ind w:firstLine="0"/>
      <w:jc w:val="left"/>
    </w:pPr>
    <w:rPr>
      <w:szCs w:val="24"/>
    </w:rPr>
  </w:style>
  <w:style w:type="character" w:styleId="FollowedHyperlink">
    <w:name w:val="FollowedHyperlink"/>
    <w:basedOn w:val="DefaultParagraphFont"/>
    <w:uiPriority w:val="99"/>
    <w:semiHidden/>
    <w:unhideWhenUsed/>
    <w:rsid w:val="007032EB"/>
    <w:rPr>
      <w:color w:val="954F72" w:themeColor="followedHyperlink"/>
      <w:u w:val="single"/>
    </w:rPr>
  </w:style>
  <w:style w:type="paragraph" w:customStyle="1" w:styleId="02-DATE">
    <w:name w:val="02-DATE"/>
    <w:next w:val="Normal"/>
    <w:rsid w:val="00765EDD"/>
    <w:pPr>
      <w:spacing w:line="360" w:lineRule="auto"/>
      <w:jc w:val="right"/>
    </w:pPr>
    <w:rPr>
      <w:rFonts w:ascii="Arial" w:hAnsi="Arial"/>
      <w:b/>
      <w:lang w:val="bg-BG" w:eastAsia="en-US"/>
    </w:rPr>
  </w:style>
  <w:style w:type="paragraph" w:customStyle="1" w:styleId="01-PRESSRELEASE">
    <w:name w:val="01-PRESSRELEASE"/>
    <w:next w:val="Normal"/>
    <w:rsid w:val="00567C15"/>
    <w:pPr>
      <w:spacing w:before="400" w:line="360" w:lineRule="auto"/>
      <w:jc w:val="center"/>
    </w:pPr>
    <w:rPr>
      <w:rFonts w:ascii="Arial" w:hAnsi="Arial"/>
      <w:b/>
      <w:lang w:val="bg-B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2093704">
      <w:bodyDiv w:val="1"/>
      <w:marLeft w:val="0"/>
      <w:marRight w:val="0"/>
      <w:marTop w:val="0"/>
      <w:marBottom w:val="0"/>
      <w:divBdr>
        <w:top w:val="none" w:sz="0" w:space="0" w:color="auto"/>
        <w:left w:val="none" w:sz="0" w:space="0" w:color="auto"/>
        <w:bottom w:val="none" w:sz="0" w:space="0" w:color="auto"/>
        <w:right w:val="none" w:sz="0" w:space="0" w:color="auto"/>
      </w:divBdr>
      <w:divsChild>
        <w:div w:id="1621911267">
          <w:marLeft w:val="0"/>
          <w:marRight w:val="0"/>
          <w:marTop w:val="0"/>
          <w:marBottom w:val="0"/>
          <w:divBdr>
            <w:top w:val="none" w:sz="0" w:space="0" w:color="auto"/>
            <w:left w:val="none" w:sz="0" w:space="0" w:color="auto"/>
            <w:bottom w:val="none" w:sz="0" w:space="0" w:color="auto"/>
            <w:right w:val="none" w:sz="0" w:space="0" w:color="auto"/>
          </w:divBdr>
          <w:divsChild>
            <w:div w:id="1077092423">
              <w:marLeft w:val="0"/>
              <w:marRight w:val="0"/>
              <w:marTop w:val="0"/>
              <w:marBottom w:val="0"/>
              <w:divBdr>
                <w:top w:val="none" w:sz="0" w:space="0" w:color="auto"/>
                <w:left w:val="none" w:sz="0" w:space="0" w:color="auto"/>
                <w:bottom w:val="none" w:sz="0" w:space="0" w:color="auto"/>
                <w:right w:val="none" w:sz="0" w:space="0" w:color="auto"/>
              </w:divBdr>
              <w:divsChild>
                <w:div w:id="861355574">
                  <w:marLeft w:val="0"/>
                  <w:marRight w:val="0"/>
                  <w:marTop w:val="0"/>
                  <w:marBottom w:val="0"/>
                  <w:divBdr>
                    <w:top w:val="none" w:sz="0" w:space="0" w:color="auto"/>
                    <w:left w:val="none" w:sz="0" w:space="0" w:color="auto"/>
                    <w:bottom w:val="none" w:sz="0" w:space="0" w:color="auto"/>
                    <w:right w:val="none" w:sz="0" w:space="0" w:color="auto"/>
                  </w:divBdr>
                  <w:divsChild>
                    <w:div w:id="220135475">
                      <w:marLeft w:val="0"/>
                      <w:marRight w:val="0"/>
                      <w:marTop w:val="0"/>
                      <w:marBottom w:val="0"/>
                      <w:divBdr>
                        <w:top w:val="none" w:sz="0" w:space="0" w:color="auto"/>
                        <w:left w:val="none" w:sz="0" w:space="0" w:color="auto"/>
                        <w:bottom w:val="none" w:sz="0" w:space="0" w:color="auto"/>
                        <w:right w:val="none" w:sz="0" w:space="0" w:color="auto"/>
                      </w:divBdr>
                      <w:divsChild>
                        <w:div w:id="1030229837">
                          <w:marLeft w:val="0"/>
                          <w:marRight w:val="0"/>
                          <w:marTop w:val="0"/>
                          <w:marBottom w:val="0"/>
                          <w:divBdr>
                            <w:top w:val="none" w:sz="0" w:space="0" w:color="auto"/>
                            <w:left w:val="none" w:sz="0" w:space="0" w:color="auto"/>
                            <w:bottom w:val="none" w:sz="0" w:space="0" w:color="auto"/>
                            <w:right w:val="none" w:sz="0" w:space="0" w:color="auto"/>
                          </w:divBdr>
                          <w:divsChild>
                            <w:div w:id="1166631094">
                              <w:marLeft w:val="0"/>
                              <w:marRight w:val="0"/>
                              <w:marTop w:val="0"/>
                              <w:marBottom w:val="0"/>
                              <w:divBdr>
                                <w:top w:val="none" w:sz="0" w:space="0" w:color="auto"/>
                                <w:left w:val="none" w:sz="0" w:space="0" w:color="auto"/>
                                <w:bottom w:val="none" w:sz="0" w:space="0" w:color="auto"/>
                                <w:right w:val="none" w:sz="0" w:space="0" w:color="auto"/>
                              </w:divBdr>
                              <w:divsChild>
                                <w:div w:id="1458836323">
                                  <w:marLeft w:val="0"/>
                                  <w:marRight w:val="0"/>
                                  <w:marTop w:val="0"/>
                                  <w:marBottom w:val="0"/>
                                  <w:divBdr>
                                    <w:top w:val="none" w:sz="0" w:space="0" w:color="auto"/>
                                    <w:left w:val="none" w:sz="0" w:space="0" w:color="auto"/>
                                    <w:bottom w:val="none" w:sz="0" w:space="0" w:color="auto"/>
                                    <w:right w:val="none" w:sz="0" w:space="0" w:color="auto"/>
                                  </w:divBdr>
                                  <w:divsChild>
                                    <w:div w:id="769425089">
                                      <w:marLeft w:val="0"/>
                                      <w:marRight w:val="0"/>
                                      <w:marTop w:val="0"/>
                                      <w:marBottom w:val="0"/>
                                      <w:divBdr>
                                        <w:top w:val="none" w:sz="0" w:space="0" w:color="auto"/>
                                        <w:left w:val="none" w:sz="0" w:space="0" w:color="auto"/>
                                        <w:bottom w:val="none" w:sz="0" w:space="0" w:color="auto"/>
                                        <w:right w:val="none" w:sz="0" w:space="0" w:color="auto"/>
                                      </w:divBdr>
                                      <w:divsChild>
                                        <w:div w:id="87890170">
                                          <w:marLeft w:val="0"/>
                                          <w:marRight w:val="0"/>
                                          <w:marTop w:val="0"/>
                                          <w:marBottom w:val="0"/>
                                          <w:divBdr>
                                            <w:top w:val="none" w:sz="0" w:space="0" w:color="auto"/>
                                            <w:left w:val="none" w:sz="0" w:space="0" w:color="auto"/>
                                            <w:bottom w:val="none" w:sz="0" w:space="0" w:color="auto"/>
                                            <w:right w:val="none" w:sz="0" w:space="0" w:color="auto"/>
                                          </w:divBdr>
                                          <w:divsChild>
                                            <w:div w:id="206647263">
                                              <w:marLeft w:val="0"/>
                                              <w:marRight w:val="0"/>
                                              <w:marTop w:val="0"/>
                                              <w:marBottom w:val="0"/>
                                              <w:divBdr>
                                                <w:top w:val="none" w:sz="0" w:space="0" w:color="auto"/>
                                                <w:left w:val="none" w:sz="0" w:space="0" w:color="auto"/>
                                                <w:bottom w:val="none" w:sz="0" w:space="0" w:color="auto"/>
                                                <w:right w:val="none" w:sz="0" w:space="0" w:color="auto"/>
                                              </w:divBdr>
                                              <w:divsChild>
                                                <w:div w:id="107081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nb.bg/BankSupervision/BSCapitalBuffers/BSCBCountercyclical/index.htm?toLang=_EN&amp;toLang=_E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7157BA-07D7-4914-BF5A-D44DA19C94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942</TotalTime>
  <Pages>2</Pages>
  <Words>536</Words>
  <Characters>3057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ДОКЛАДНА ЗАПИСКА ДО УПРАВИТЕЛНИЯ СЪВЕТ</vt:lpstr>
    </vt:vector>
  </TitlesOfParts>
  <Company>Българска народна банка</Company>
  <LinksUpToDate>false</LinksUpToDate>
  <CharactersWithSpaces>3586</CharactersWithSpaces>
  <SharedDoc>false</SharedDoc>
  <HLinks>
    <vt:vector size="6" baseType="variant">
      <vt:variant>
        <vt:i4>7274539</vt:i4>
      </vt:variant>
      <vt:variant>
        <vt:i4>1024</vt:i4>
      </vt:variant>
      <vt:variant>
        <vt:i4>1025</vt:i4>
      </vt:variant>
      <vt:variant>
        <vt:i4>1</vt:i4>
      </vt:variant>
      <vt:variant>
        <vt:lpwstr>!s5-7,9-10</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ДОКЛАДНА ЗАПИСКА ДО УПРАВИТЕЛНИЯ СЪВЕТ</dc:title>
  <dc:creator>Стефан Кръстанов</dc:creator>
  <cp:lastModifiedBy>Биляна Борисова</cp:lastModifiedBy>
  <cp:revision>331</cp:revision>
  <cp:lastPrinted>2016-03-16T14:20:00Z</cp:lastPrinted>
  <dcterms:created xsi:type="dcterms:W3CDTF">2018-06-25T07:25:00Z</dcterms:created>
  <dcterms:modified xsi:type="dcterms:W3CDTF">2021-12-17T10:34:00Z</dcterms:modified>
</cp:coreProperties>
</file>