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69D" w:rsidRPr="0085669D" w:rsidRDefault="0085669D" w:rsidP="0085669D">
      <w:pPr>
        <w:spacing w:before="240" w:after="360"/>
        <w:ind w:firstLine="0"/>
        <w:jc w:val="center"/>
        <w:rPr>
          <w:rFonts w:ascii="Arial" w:hAnsi="Arial" w:cs="Arial"/>
          <w:b/>
          <w:sz w:val="20"/>
        </w:rPr>
      </w:pPr>
      <w:r w:rsidRPr="0085669D">
        <w:rPr>
          <w:rFonts w:ascii="Arial" w:hAnsi="Arial" w:cs="Arial"/>
          <w:b/>
          <w:sz w:val="20"/>
        </w:rPr>
        <w:t>ПРЕССЪОБЩЕНИЕ</w:t>
      </w:r>
      <w:bookmarkStart w:id="0" w:name="_GoBack"/>
      <w:bookmarkEnd w:id="0"/>
    </w:p>
    <w:p w:rsidR="009E6015" w:rsidRDefault="009E6015" w:rsidP="009E6015">
      <w:pPr>
        <w:pStyle w:val="02-DATE"/>
      </w:pPr>
      <w:r w:rsidRPr="00661313">
        <w:t>1</w:t>
      </w:r>
      <w:r>
        <w:t>7</w:t>
      </w:r>
      <w:r w:rsidRPr="00661313">
        <w:t xml:space="preserve"> </w:t>
      </w:r>
      <w:r w:rsidRPr="00674041">
        <w:t>декември</w:t>
      </w:r>
      <w:r w:rsidRPr="00661313">
        <w:t xml:space="preserve"> 2020 г.</w:t>
      </w:r>
    </w:p>
    <w:p w:rsidR="00F7516F" w:rsidRPr="00F7516F" w:rsidRDefault="00F7516F" w:rsidP="0038249A">
      <w:pPr>
        <w:pStyle w:val="04-TEXTFIRST"/>
      </w:pPr>
      <w:r w:rsidRPr="00F7516F">
        <w:t>Управителният съвет на БНБ определи ниво на антицикличния капиталов буфер, приложим към кредитни рискови експозиции в Република България, в размер на 0.</w:t>
      </w:r>
      <w:r w:rsidR="001245DD">
        <w:t xml:space="preserve">5% за </w:t>
      </w:r>
      <w:r w:rsidR="00C45384">
        <w:t>първото</w:t>
      </w:r>
      <w:r w:rsidR="00366630">
        <w:t xml:space="preserve"> </w:t>
      </w:r>
      <w:r w:rsidR="00C45384">
        <w:t>тримесечие на 2021</w:t>
      </w:r>
      <w:r w:rsidRPr="00F7516F">
        <w:t xml:space="preserve"> г.</w:t>
      </w:r>
      <w:r w:rsidR="00AF4318">
        <w:t>,</w:t>
      </w:r>
      <w:r w:rsidR="00AF4318" w:rsidRPr="00AF4318">
        <w:t xml:space="preserve"> </w:t>
      </w:r>
      <w:r w:rsidR="00AF4318">
        <w:t>в съответствие с</w:t>
      </w:r>
      <w:r w:rsidR="00AF4318" w:rsidRPr="00F7516F">
        <w:t xml:space="preserve"> чл. 5, ал. 3 и ал. 4 от Наредба № 8 на БНБ за капиталовите буфери на банките</w:t>
      </w:r>
      <w:r w:rsidR="00AF4318">
        <w:t>.</w:t>
      </w:r>
    </w:p>
    <w:p w:rsidR="00F7516F" w:rsidRPr="00F7516F" w:rsidRDefault="00F7516F" w:rsidP="0038249A">
      <w:pPr>
        <w:pStyle w:val="04-TEXTFIRST"/>
      </w:pPr>
      <w:r w:rsidRPr="00F7516F">
        <w:t xml:space="preserve">Съгласно чл. 5, ал. 3 от Наредба № 8 на БНБ, при определяне на нивото на антицикличния буфер се отчитат както референтният индикатор по чл. 5, ал. 1, така и съответните насоки на </w:t>
      </w:r>
      <w:r w:rsidR="00174AA8">
        <w:t>Европейския съвет за системен риск (</w:t>
      </w:r>
      <w:r w:rsidRPr="00F7516F">
        <w:t>ЕССР</w:t>
      </w:r>
      <w:r w:rsidR="00174AA8">
        <w:t>)</w:t>
      </w:r>
      <w:r w:rsidRPr="00F7516F">
        <w:t xml:space="preserve"> и други показатели, които БНБ е преценила за подходящи за отразяване на цикличния системен риск. </w:t>
      </w:r>
      <w:r w:rsidR="00BA3EED" w:rsidRPr="00BA3EED">
        <w:t>По отношение на данните, свързани с референтния индикатор, към</w:t>
      </w:r>
      <w:r w:rsidRPr="00F7516F">
        <w:t xml:space="preserve"> края на </w:t>
      </w:r>
      <w:r w:rsidR="00C45384">
        <w:t>третото</w:t>
      </w:r>
      <w:r w:rsidRPr="00F7516F">
        <w:t xml:space="preserve"> тримесечие на 2020 г. </w:t>
      </w:r>
      <w:r w:rsidR="00BC6EA9" w:rsidRPr="00F7516F">
        <w:t>съотношение</w:t>
      </w:r>
      <w:r w:rsidR="00BC6EA9">
        <w:t>то</w:t>
      </w:r>
      <w:r w:rsidR="00BC6EA9" w:rsidRPr="00F7516F">
        <w:t xml:space="preserve"> кредит/БВП</w:t>
      </w:r>
      <w:r w:rsidR="00BC6EA9">
        <w:t>,</w:t>
      </w:r>
      <w:r w:rsidR="00BC6EA9" w:rsidRPr="00F7516F">
        <w:t xml:space="preserve"> </w:t>
      </w:r>
      <w:r w:rsidR="00BC6EA9">
        <w:t>изчислено</w:t>
      </w:r>
      <w:r w:rsidRPr="00F7516F">
        <w:t xml:space="preserve"> според публикуваната на интернет страницата на Българската народна банка методология</w:t>
      </w:r>
      <w:r w:rsidR="00BC6EA9">
        <w:t>,</w:t>
      </w:r>
      <w:r w:rsidRPr="00F7516F">
        <w:t xml:space="preserve"> възлиза на </w:t>
      </w:r>
      <w:r w:rsidR="008D62A2">
        <w:t>98.4</w:t>
      </w:r>
      <w:r w:rsidRPr="00F7516F">
        <w:t>%. Отклонението на показателя от дългоср</w:t>
      </w:r>
      <w:r w:rsidR="00366630">
        <w:t>очния тренд е отрицателно (</w:t>
      </w:r>
      <w:r w:rsidR="008D62A2">
        <w:t>-29.8</w:t>
      </w:r>
      <w:r w:rsidRPr="00F7516F">
        <w:t xml:space="preserve"> процентни пункта), което съответства на нулева стойност на референтния индикатор за антицикличния буфер.</w:t>
      </w:r>
    </w:p>
    <w:p w:rsidR="000370BB" w:rsidRPr="000370BB" w:rsidRDefault="00AF3185" w:rsidP="0038249A">
      <w:pPr>
        <w:pStyle w:val="04-TEXTFIRST"/>
      </w:pPr>
      <w:r>
        <w:t>Във връзка с</w:t>
      </w:r>
      <w:r w:rsidR="005C1D78" w:rsidRPr="005C1D78">
        <w:t xml:space="preserve"> пандемията от COVID-19, през март 2020 г. Управителният съвет на БНБ </w:t>
      </w:r>
      <w:r>
        <w:t>прие</w:t>
      </w:r>
      <w:r w:rsidR="005C1D78" w:rsidRPr="005C1D78">
        <w:t xml:space="preserve"> пакет от мерки, включващ отмяна на предвидените за </w:t>
      </w:r>
      <w:r w:rsidR="00AF4318">
        <w:t xml:space="preserve">второто тримесечие на </w:t>
      </w:r>
      <w:r w:rsidR="005C1D78" w:rsidRPr="005C1D78">
        <w:t xml:space="preserve">2020 г. и първото тримесечие на 2021 г. увеличения на нивото на антицикличния капиталов буфер, приложим </w:t>
      </w:r>
      <w:r w:rsidR="00E5447C">
        <w:t>към</w:t>
      </w:r>
      <w:r w:rsidR="005C1D78" w:rsidRPr="005C1D78">
        <w:t xml:space="preserve"> местни</w:t>
      </w:r>
      <w:r w:rsidR="00E5447C">
        <w:t>те</w:t>
      </w:r>
      <w:r w:rsidR="005C1D78" w:rsidRPr="005C1D78">
        <w:t xml:space="preserve"> кредитни рискови експозиции, и запазване на </w:t>
      </w:r>
      <w:r w:rsidR="00AF4318">
        <w:t>нивото</w:t>
      </w:r>
      <w:r w:rsidR="00AF4318" w:rsidRPr="005C1D78">
        <w:t xml:space="preserve"> </w:t>
      </w:r>
      <w:r w:rsidR="005C1D78" w:rsidRPr="005C1D78">
        <w:t>от 0.5%</w:t>
      </w:r>
      <w:r w:rsidR="00AF4318">
        <w:t>. Това ниво остана</w:t>
      </w:r>
      <w:r w:rsidR="005C1D78" w:rsidRPr="005C1D78">
        <w:t xml:space="preserve"> непроменено и през </w:t>
      </w:r>
      <w:r w:rsidR="00C45384">
        <w:t>втората половина</w:t>
      </w:r>
      <w:r w:rsidR="005C1D78" w:rsidRPr="005C1D78">
        <w:t xml:space="preserve"> на 2020 г.</w:t>
      </w:r>
      <w:r w:rsidR="000370BB" w:rsidRPr="000370BB">
        <w:t xml:space="preserve"> </w:t>
      </w:r>
    </w:p>
    <w:p w:rsidR="000370BB" w:rsidRDefault="00D229C1" w:rsidP="0038249A">
      <w:pPr>
        <w:pStyle w:val="04-TEXTFIRST"/>
      </w:pPr>
      <w:r w:rsidRPr="00D229C1">
        <w:t xml:space="preserve">Запазването на текущото ниво на буфера през първото тримесечие на 2021 г. би допринесло за съхраняване на устойчивостта на банковата система </w:t>
      </w:r>
      <w:r w:rsidR="00AF4318">
        <w:t>при</w:t>
      </w:r>
      <w:r w:rsidR="00AF4318" w:rsidRPr="00D229C1">
        <w:t xml:space="preserve"> </w:t>
      </w:r>
      <w:r w:rsidRPr="00D229C1">
        <w:t>продължително влошаване на икономическата среда и произтичащи</w:t>
      </w:r>
      <w:r w:rsidR="00AF4318">
        <w:t>те</w:t>
      </w:r>
      <w:r w:rsidRPr="00D229C1">
        <w:t xml:space="preserve"> негативни тенденции в качеството на кредитния портфейл, нарастване на обезценките за кредитен риск и потенциален натиск върху доходността и капиталовата позиция на кредитните институции.</w:t>
      </w:r>
    </w:p>
    <w:p w:rsidR="003B1E26" w:rsidRDefault="003B1E26" w:rsidP="0038249A">
      <w:pPr>
        <w:pStyle w:val="04-TEXTFIRST"/>
      </w:pPr>
      <w:r w:rsidRPr="003D3A17">
        <w:t>Решението на Управителния съвет на БНБ е взето при спазване на заложените процедури за макропруденциални инструменти с Европейската централна банка съобразно чл. 5 от Регламент (ЕС) № 1024/2013 на Съвета от 15 октомври 2013 година за възлагане на Европейската централна банка на конкретни задачи относно политиките, свързани с пруденциалния надзор над кредитните институции.</w:t>
      </w:r>
    </w:p>
    <w:p w:rsidR="00F84449" w:rsidRPr="00F84449" w:rsidRDefault="00F7516F" w:rsidP="0038249A">
      <w:pPr>
        <w:pStyle w:val="04-TEXTFIRST"/>
      </w:pPr>
      <w:r w:rsidRPr="00F7516F">
        <w:t xml:space="preserve">Решение за нивото, приложимо през </w:t>
      </w:r>
      <w:r w:rsidR="00C45384">
        <w:t>второто</w:t>
      </w:r>
      <w:r w:rsidR="00826854">
        <w:t xml:space="preserve"> тримесечие на 2021</w:t>
      </w:r>
      <w:r w:rsidRPr="00F7516F">
        <w:t xml:space="preserve"> г., Управителният съве</w:t>
      </w:r>
      <w:r w:rsidR="00C45384">
        <w:t>т на БНБ ще вземе през март 2021</w:t>
      </w:r>
      <w:r w:rsidRPr="00F7516F">
        <w:t xml:space="preserve"> г.</w:t>
      </w:r>
    </w:p>
    <w:p w:rsidR="00B941AD" w:rsidRPr="005103D0" w:rsidRDefault="0085669D" w:rsidP="0038249A">
      <w:pPr>
        <w:pStyle w:val="04-TEXTFIRST"/>
      </w:pPr>
      <w:r w:rsidRPr="0085669D">
        <w:t xml:space="preserve">Допълнителна информация за използваната методология и </w:t>
      </w:r>
      <w:r w:rsidR="00AF4318">
        <w:t>предишните</w:t>
      </w:r>
      <w:r w:rsidR="00AF4318" w:rsidRPr="0085669D">
        <w:t xml:space="preserve"> </w:t>
      </w:r>
      <w:r w:rsidRPr="0085669D">
        <w:t xml:space="preserve">решения </w:t>
      </w:r>
      <w:r w:rsidR="00AF4318">
        <w:t xml:space="preserve">за антицикличния капиталов буфер </w:t>
      </w:r>
      <w:r w:rsidRPr="0085669D">
        <w:t>може да се намери в раздел „</w:t>
      </w:r>
      <w:hyperlink r:id="rId8" w:history="1">
        <w:r w:rsidR="00C75245" w:rsidRPr="00E0176E">
          <w:rPr>
            <w:rStyle w:val="Hyperlink"/>
            <w:rFonts w:cs="Arial"/>
            <w:color w:val="FF0000"/>
          </w:rPr>
          <w:t>Капиталови буфери</w:t>
        </w:r>
      </w:hyperlink>
      <w:r w:rsidRPr="0085669D">
        <w:t>“.</w:t>
      </w:r>
    </w:p>
    <w:sectPr w:rsidR="00B941AD" w:rsidRPr="005103D0" w:rsidSect="00687A29">
      <w:headerReference w:type="default" r:id="rId9"/>
      <w:footerReference w:type="default" r:id="rId10"/>
      <w:pgSz w:w="11906" w:h="16838" w:code="9"/>
      <w:pgMar w:top="1438" w:right="851" w:bottom="1440" w:left="1418" w:header="357" w:footer="5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1960" w:rsidRDefault="00781960">
      <w:r>
        <w:separator/>
      </w:r>
    </w:p>
  </w:endnote>
  <w:endnote w:type="continuationSeparator" w:id="0">
    <w:p w:rsidR="00781960" w:rsidRDefault="00781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A29" w:rsidRDefault="00687A29" w:rsidP="00687A29">
    <w:pPr>
      <w:pStyle w:val="Footer"/>
      <w:jc w:val="right"/>
    </w:pPr>
    <w:r>
      <w:t xml:space="preserve">с. </w:t>
    </w:r>
    <w:r>
      <w:fldChar w:fldCharType="begin"/>
    </w:r>
    <w:r>
      <w:instrText xml:space="preserve"> PAGE   \* MERGEFORMAT </w:instrText>
    </w:r>
    <w:r>
      <w:fldChar w:fldCharType="separate"/>
    </w:r>
    <w:r w:rsidR="00500E8D">
      <w:rPr>
        <w:noProof/>
      </w:rPr>
      <w:t>2</w:t>
    </w:r>
    <w:r>
      <w:fldChar w:fldCharType="end"/>
    </w:r>
    <w:r>
      <w:t>/</w:t>
    </w:r>
    <w:r w:rsidR="0038249A">
      <w:rPr>
        <w:noProof/>
      </w:rPr>
      <w:fldChar w:fldCharType="begin"/>
    </w:r>
    <w:r w:rsidR="0038249A">
      <w:rPr>
        <w:noProof/>
      </w:rPr>
      <w:instrText xml:space="preserve"> NUMPAGES   \* MERGEFORMAT </w:instrText>
    </w:r>
    <w:r w:rsidR="0038249A">
      <w:rPr>
        <w:noProof/>
      </w:rPr>
      <w:fldChar w:fldCharType="separate"/>
    </w:r>
    <w:r w:rsidR="00500E8D">
      <w:rPr>
        <w:noProof/>
      </w:rPr>
      <w:t>2</w:t>
    </w:r>
    <w:r w:rsidR="0038249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1960" w:rsidRDefault="00781960">
      <w:r>
        <w:separator/>
      </w:r>
    </w:p>
  </w:footnote>
  <w:footnote w:type="continuationSeparator" w:id="0">
    <w:p w:rsidR="00781960" w:rsidRDefault="007819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2333" w:rsidRDefault="002F2333">
    <w:pPr>
      <w:pStyle w:val="Header"/>
      <w:tabs>
        <w:tab w:val="center" w:pos="-180"/>
      </w:tabs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B1A0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14E728A"/>
    <w:multiLevelType w:val="hybridMultilevel"/>
    <w:tmpl w:val="EC18FAFE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 w:tentative="1">
      <w:start w:val="1"/>
      <w:numFmt w:val="lowerLetter"/>
      <w:lvlText w:val="%2."/>
      <w:lvlJc w:val="left"/>
      <w:pPr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590321AD"/>
    <w:multiLevelType w:val="hybridMultilevel"/>
    <w:tmpl w:val="0BE4A8A6"/>
    <w:lvl w:ilvl="0" w:tplc="6096CAF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0F">
      <w:start w:val="1"/>
      <w:numFmt w:val="decimal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94"/>
    <w:rsid w:val="00001C2C"/>
    <w:rsid w:val="000118DE"/>
    <w:rsid w:val="000175E1"/>
    <w:rsid w:val="00017BB8"/>
    <w:rsid w:val="000370BB"/>
    <w:rsid w:val="00070163"/>
    <w:rsid w:val="0007347A"/>
    <w:rsid w:val="00074320"/>
    <w:rsid w:val="00080AC8"/>
    <w:rsid w:val="00091EF0"/>
    <w:rsid w:val="0009698F"/>
    <w:rsid w:val="000A171A"/>
    <w:rsid w:val="000A1B43"/>
    <w:rsid w:val="000A630B"/>
    <w:rsid w:val="000A7A84"/>
    <w:rsid w:val="000B0125"/>
    <w:rsid w:val="000B1FAA"/>
    <w:rsid w:val="000B7049"/>
    <w:rsid w:val="000D2FA8"/>
    <w:rsid w:val="000E4172"/>
    <w:rsid w:val="000E5100"/>
    <w:rsid w:val="000E67D6"/>
    <w:rsid w:val="0010486F"/>
    <w:rsid w:val="00113DED"/>
    <w:rsid w:val="00117B34"/>
    <w:rsid w:val="001236F4"/>
    <w:rsid w:val="001245DD"/>
    <w:rsid w:val="00132224"/>
    <w:rsid w:val="00140A54"/>
    <w:rsid w:val="001727E3"/>
    <w:rsid w:val="00174AA8"/>
    <w:rsid w:val="0017593C"/>
    <w:rsid w:val="001A3737"/>
    <w:rsid w:val="001F7682"/>
    <w:rsid w:val="00202B49"/>
    <w:rsid w:val="00204597"/>
    <w:rsid w:val="00224BE7"/>
    <w:rsid w:val="0023250B"/>
    <w:rsid w:val="0023543D"/>
    <w:rsid w:val="002423D1"/>
    <w:rsid w:val="00256973"/>
    <w:rsid w:val="00273A2F"/>
    <w:rsid w:val="00281BB1"/>
    <w:rsid w:val="002A364F"/>
    <w:rsid w:val="002A44C2"/>
    <w:rsid w:val="002A46E6"/>
    <w:rsid w:val="002A7FD9"/>
    <w:rsid w:val="002C07DF"/>
    <w:rsid w:val="002D09AA"/>
    <w:rsid w:val="002F2333"/>
    <w:rsid w:val="002F3BDE"/>
    <w:rsid w:val="002F79F8"/>
    <w:rsid w:val="00300E6D"/>
    <w:rsid w:val="003037B3"/>
    <w:rsid w:val="00305C99"/>
    <w:rsid w:val="00316376"/>
    <w:rsid w:val="0031780B"/>
    <w:rsid w:val="003209D9"/>
    <w:rsid w:val="00335FAF"/>
    <w:rsid w:val="00354F39"/>
    <w:rsid w:val="00366630"/>
    <w:rsid w:val="00376F0E"/>
    <w:rsid w:val="00380D75"/>
    <w:rsid w:val="0038249A"/>
    <w:rsid w:val="00382973"/>
    <w:rsid w:val="003840EC"/>
    <w:rsid w:val="003858EF"/>
    <w:rsid w:val="003B13F0"/>
    <w:rsid w:val="003B1432"/>
    <w:rsid w:val="003B1E26"/>
    <w:rsid w:val="003C2581"/>
    <w:rsid w:val="003C3388"/>
    <w:rsid w:val="003D390A"/>
    <w:rsid w:val="003D3A17"/>
    <w:rsid w:val="00402EB9"/>
    <w:rsid w:val="00405B7C"/>
    <w:rsid w:val="00434D8C"/>
    <w:rsid w:val="004364FF"/>
    <w:rsid w:val="0044448C"/>
    <w:rsid w:val="00454111"/>
    <w:rsid w:val="0047573B"/>
    <w:rsid w:val="00480A27"/>
    <w:rsid w:val="00485291"/>
    <w:rsid w:val="00487754"/>
    <w:rsid w:val="004A0755"/>
    <w:rsid w:val="004A6384"/>
    <w:rsid w:val="004A6A1C"/>
    <w:rsid w:val="004B708A"/>
    <w:rsid w:val="004C03F7"/>
    <w:rsid w:val="004C232E"/>
    <w:rsid w:val="004C4F90"/>
    <w:rsid w:val="004E082D"/>
    <w:rsid w:val="004E0A01"/>
    <w:rsid w:val="004E1849"/>
    <w:rsid w:val="004F5B96"/>
    <w:rsid w:val="004F7B04"/>
    <w:rsid w:val="00500E8D"/>
    <w:rsid w:val="00503A4D"/>
    <w:rsid w:val="005103D0"/>
    <w:rsid w:val="0051128A"/>
    <w:rsid w:val="005202B6"/>
    <w:rsid w:val="005243DE"/>
    <w:rsid w:val="00547467"/>
    <w:rsid w:val="00554F6E"/>
    <w:rsid w:val="00560BBD"/>
    <w:rsid w:val="0057062E"/>
    <w:rsid w:val="00571C49"/>
    <w:rsid w:val="005A0334"/>
    <w:rsid w:val="005A0FB1"/>
    <w:rsid w:val="005A45D4"/>
    <w:rsid w:val="005B2F92"/>
    <w:rsid w:val="005C1D78"/>
    <w:rsid w:val="005C7329"/>
    <w:rsid w:val="005F4F94"/>
    <w:rsid w:val="005F7C50"/>
    <w:rsid w:val="00600078"/>
    <w:rsid w:val="006170BA"/>
    <w:rsid w:val="006209DB"/>
    <w:rsid w:val="00624703"/>
    <w:rsid w:val="00633B61"/>
    <w:rsid w:val="00633D4A"/>
    <w:rsid w:val="00637521"/>
    <w:rsid w:val="00641888"/>
    <w:rsid w:val="00664442"/>
    <w:rsid w:val="00664905"/>
    <w:rsid w:val="00681039"/>
    <w:rsid w:val="00683CCB"/>
    <w:rsid w:val="00687A29"/>
    <w:rsid w:val="006A4295"/>
    <w:rsid w:val="006A591C"/>
    <w:rsid w:val="006A6D8A"/>
    <w:rsid w:val="006E5A26"/>
    <w:rsid w:val="007032EB"/>
    <w:rsid w:val="00714528"/>
    <w:rsid w:val="00722A79"/>
    <w:rsid w:val="00723F97"/>
    <w:rsid w:val="0072745E"/>
    <w:rsid w:val="0074310D"/>
    <w:rsid w:val="007456CE"/>
    <w:rsid w:val="00753370"/>
    <w:rsid w:val="007544A7"/>
    <w:rsid w:val="007609C6"/>
    <w:rsid w:val="00781960"/>
    <w:rsid w:val="00782D36"/>
    <w:rsid w:val="0078744E"/>
    <w:rsid w:val="00790046"/>
    <w:rsid w:val="007B0713"/>
    <w:rsid w:val="007C1920"/>
    <w:rsid w:val="007C1AB9"/>
    <w:rsid w:val="007C1C7B"/>
    <w:rsid w:val="007D6D69"/>
    <w:rsid w:val="007F6789"/>
    <w:rsid w:val="00805A95"/>
    <w:rsid w:val="00826854"/>
    <w:rsid w:val="0085669D"/>
    <w:rsid w:val="00874727"/>
    <w:rsid w:val="00882342"/>
    <w:rsid w:val="008832A5"/>
    <w:rsid w:val="008A4A03"/>
    <w:rsid w:val="008A684B"/>
    <w:rsid w:val="008A6B58"/>
    <w:rsid w:val="008B74DA"/>
    <w:rsid w:val="008D294B"/>
    <w:rsid w:val="008D5882"/>
    <w:rsid w:val="008D62A2"/>
    <w:rsid w:val="008D7622"/>
    <w:rsid w:val="008F3A90"/>
    <w:rsid w:val="009067F2"/>
    <w:rsid w:val="009069A4"/>
    <w:rsid w:val="009127FE"/>
    <w:rsid w:val="00913669"/>
    <w:rsid w:val="00946541"/>
    <w:rsid w:val="009468F2"/>
    <w:rsid w:val="00966968"/>
    <w:rsid w:val="0097350B"/>
    <w:rsid w:val="00986DF9"/>
    <w:rsid w:val="009947CF"/>
    <w:rsid w:val="009A2733"/>
    <w:rsid w:val="009C1232"/>
    <w:rsid w:val="009E1CE1"/>
    <w:rsid w:val="009E6015"/>
    <w:rsid w:val="00A13B4C"/>
    <w:rsid w:val="00A17184"/>
    <w:rsid w:val="00A30955"/>
    <w:rsid w:val="00A363EC"/>
    <w:rsid w:val="00A41B9D"/>
    <w:rsid w:val="00A452D0"/>
    <w:rsid w:val="00A46905"/>
    <w:rsid w:val="00A5000B"/>
    <w:rsid w:val="00A51DD0"/>
    <w:rsid w:val="00A520BA"/>
    <w:rsid w:val="00A660B5"/>
    <w:rsid w:val="00A85466"/>
    <w:rsid w:val="00A97AAA"/>
    <w:rsid w:val="00AA13EB"/>
    <w:rsid w:val="00AA6DFF"/>
    <w:rsid w:val="00AB15CA"/>
    <w:rsid w:val="00AC4C40"/>
    <w:rsid w:val="00AE08A0"/>
    <w:rsid w:val="00AF3185"/>
    <w:rsid w:val="00AF4318"/>
    <w:rsid w:val="00B046BC"/>
    <w:rsid w:val="00B22A9B"/>
    <w:rsid w:val="00B36BF5"/>
    <w:rsid w:val="00B413FC"/>
    <w:rsid w:val="00B44D7E"/>
    <w:rsid w:val="00B5283C"/>
    <w:rsid w:val="00B54440"/>
    <w:rsid w:val="00B55A7D"/>
    <w:rsid w:val="00B627C5"/>
    <w:rsid w:val="00B6698C"/>
    <w:rsid w:val="00B717F3"/>
    <w:rsid w:val="00B8639B"/>
    <w:rsid w:val="00B932A4"/>
    <w:rsid w:val="00B941AD"/>
    <w:rsid w:val="00BA3EED"/>
    <w:rsid w:val="00BC42B4"/>
    <w:rsid w:val="00BC4F2C"/>
    <w:rsid w:val="00BC5FDE"/>
    <w:rsid w:val="00BC6EA9"/>
    <w:rsid w:val="00BE3DA7"/>
    <w:rsid w:val="00C112A1"/>
    <w:rsid w:val="00C118DD"/>
    <w:rsid w:val="00C13690"/>
    <w:rsid w:val="00C138C3"/>
    <w:rsid w:val="00C13E06"/>
    <w:rsid w:val="00C25F8C"/>
    <w:rsid w:val="00C27DAA"/>
    <w:rsid w:val="00C34EBD"/>
    <w:rsid w:val="00C45384"/>
    <w:rsid w:val="00C46C4A"/>
    <w:rsid w:val="00C6690A"/>
    <w:rsid w:val="00C75245"/>
    <w:rsid w:val="00C771E3"/>
    <w:rsid w:val="00C85120"/>
    <w:rsid w:val="00CA0597"/>
    <w:rsid w:val="00CB09F1"/>
    <w:rsid w:val="00CB369F"/>
    <w:rsid w:val="00CC3DBB"/>
    <w:rsid w:val="00CE3E2A"/>
    <w:rsid w:val="00CF22C1"/>
    <w:rsid w:val="00D0137E"/>
    <w:rsid w:val="00D0428D"/>
    <w:rsid w:val="00D12263"/>
    <w:rsid w:val="00D229C1"/>
    <w:rsid w:val="00D3447F"/>
    <w:rsid w:val="00D433C8"/>
    <w:rsid w:val="00D475F4"/>
    <w:rsid w:val="00D5087B"/>
    <w:rsid w:val="00D56A0B"/>
    <w:rsid w:val="00D56EAE"/>
    <w:rsid w:val="00D64D55"/>
    <w:rsid w:val="00D66081"/>
    <w:rsid w:val="00D708D7"/>
    <w:rsid w:val="00D73798"/>
    <w:rsid w:val="00D7623D"/>
    <w:rsid w:val="00D80F5A"/>
    <w:rsid w:val="00D857A7"/>
    <w:rsid w:val="00D91240"/>
    <w:rsid w:val="00D9250A"/>
    <w:rsid w:val="00D9329C"/>
    <w:rsid w:val="00D94809"/>
    <w:rsid w:val="00D964B8"/>
    <w:rsid w:val="00DA0BB4"/>
    <w:rsid w:val="00DB68F6"/>
    <w:rsid w:val="00DC2AB4"/>
    <w:rsid w:val="00DD2B7B"/>
    <w:rsid w:val="00DD7677"/>
    <w:rsid w:val="00DE1AB9"/>
    <w:rsid w:val="00DE687A"/>
    <w:rsid w:val="00E0175F"/>
    <w:rsid w:val="00E0176E"/>
    <w:rsid w:val="00E077C1"/>
    <w:rsid w:val="00E15DCD"/>
    <w:rsid w:val="00E2056E"/>
    <w:rsid w:val="00E21DF5"/>
    <w:rsid w:val="00E30C46"/>
    <w:rsid w:val="00E42A1D"/>
    <w:rsid w:val="00E4384E"/>
    <w:rsid w:val="00E474F6"/>
    <w:rsid w:val="00E4775E"/>
    <w:rsid w:val="00E5447C"/>
    <w:rsid w:val="00E54A29"/>
    <w:rsid w:val="00E550D2"/>
    <w:rsid w:val="00E65B32"/>
    <w:rsid w:val="00E65D48"/>
    <w:rsid w:val="00E661EC"/>
    <w:rsid w:val="00E72CB1"/>
    <w:rsid w:val="00E81C6F"/>
    <w:rsid w:val="00EA57F0"/>
    <w:rsid w:val="00EB1DD9"/>
    <w:rsid w:val="00ED4805"/>
    <w:rsid w:val="00EE5F74"/>
    <w:rsid w:val="00F37006"/>
    <w:rsid w:val="00F434AD"/>
    <w:rsid w:val="00F5016D"/>
    <w:rsid w:val="00F565D7"/>
    <w:rsid w:val="00F7516F"/>
    <w:rsid w:val="00F812FD"/>
    <w:rsid w:val="00F84449"/>
    <w:rsid w:val="00F84BF9"/>
    <w:rsid w:val="00FB634D"/>
    <w:rsid w:val="00FB7042"/>
    <w:rsid w:val="00FC66A2"/>
    <w:rsid w:val="00FC6BCA"/>
    <w:rsid w:val="00FD6789"/>
    <w:rsid w:val="00FE290A"/>
    <w:rsid w:val="00FF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;"/>
  <w15:docId w15:val="{3FC713CE-A3A0-422E-B4E5-EF48A9395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semiHidden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83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2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0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4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81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b.bg/BankSupervision/BSCapitalBuffers/BSCBCountercyclical/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C0F52-100B-4747-9D4D-066A622C7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ДОКЛАДНА ЗАПИСКА ДО УПРАВИТЕЛНИЯ СЪВЕТ</vt:lpstr>
    </vt:vector>
  </TitlesOfParts>
  <Company>Българска народна банка</Company>
  <LinksUpToDate>false</LinksUpToDate>
  <CharactersWithSpaces>2590</CharactersWithSpaces>
  <SharedDoc>false</SharedDoc>
  <HLinks>
    <vt:vector size="6" baseType="variant">
      <vt:variant>
        <vt:i4>7274539</vt:i4>
      </vt:variant>
      <vt:variant>
        <vt:i4>1024</vt:i4>
      </vt:variant>
      <vt:variant>
        <vt:i4>1025</vt:i4>
      </vt:variant>
      <vt:variant>
        <vt:i4>1</vt:i4>
      </vt:variant>
      <vt:variant>
        <vt:lpwstr>!s5-7,9-10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ДОКЛАДНА ЗАПИСКА ДО УПРАВИТЕЛНИЯ СЪВЕТ</dc:title>
  <dc:creator>Стефан Кръстанов</dc:creator>
  <cp:lastModifiedBy>Биляна Борисова</cp:lastModifiedBy>
  <cp:revision>6</cp:revision>
  <cp:lastPrinted>2020-06-23T11:58:00Z</cp:lastPrinted>
  <dcterms:created xsi:type="dcterms:W3CDTF">2020-12-17T12:47:00Z</dcterms:created>
  <dcterms:modified xsi:type="dcterms:W3CDTF">2020-12-17T14:04:00Z</dcterms:modified>
</cp:coreProperties>
</file>