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7C6C3D" w14:textId="77777777" w:rsidR="00E01B28" w:rsidRPr="002B17CD" w:rsidRDefault="00D17D5F" w:rsidP="002B17CD">
      <w:pPr>
        <w:tabs>
          <w:tab w:val="left" w:pos="284"/>
        </w:tabs>
        <w:ind w:left="284" w:right="142" w:firstLine="709"/>
        <w:jc w:val="center"/>
        <w:rPr>
          <w:b/>
          <w:sz w:val="32"/>
          <w:szCs w:val="32"/>
        </w:rPr>
      </w:pPr>
      <w:r>
        <w:rPr>
          <w:b/>
          <w:sz w:val="32"/>
          <w:szCs w:val="32"/>
        </w:rPr>
        <w:t>УКАЗАНИЯ</w:t>
      </w:r>
    </w:p>
    <w:p w14:paraId="015136B5" w14:textId="77777777" w:rsidR="00E01B28" w:rsidRPr="005E02DA" w:rsidRDefault="00E01B28" w:rsidP="00693D62">
      <w:pPr>
        <w:tabs>
          <w:tab w:val="left" w:pos="284"/>
        </w:tabs>
        <w:ind w:right="142"/>
        <w:jc w:val="center"/>
        <w:rPr>
          <w:b/>
        </w:rPr>
      </w:pPr>
    </w:p>
    <w:p w14:paraId="23AC695D" w14:textId="77777777" w:rsidR="00E01B28" w:rsidRPr="005E02DA" w:rsidRDefault="002B17CD" w:rsidP="002B17CD">
      <w:pPr>
        <w:tabs>
          <w:tab w:val="left" w:pos="284"/>
        </w:tabs>
        <w:ind w:left="284" w:right="142" w:firstLine="709"/>
        <w:rPr>
          <w:b/>
        </w:rPr>
      </w:pPr>
      <w:r>
        <w:rPr>
          <w:b/>
        </w:rPr>
        <w:t xml:space="preserve">                                            </w:t>
      </w:r>
      <w:r w:rsidR="00E01B28" w:rsidRPr="005E02DA">
        <w:rPr>
          <w:b/>
        </w:rPr>
        <w:t>за подготовка на офертата</w:t>
      </w:r>
    </w:p>
    <w:p w14:paraId="2852E3B0" w14:textId="77777777" w:rsidR="00E01B28" w:rsidRPr="005E02DA" w:rsidRDefault="00E01B28" w:rsidP="00E01B28">
      <w:pPr>
        <w:tabs>
          <w:tab w:val="left" w:pos="284"/>
        </w:tabs>
        <w:ind w:left="284" w:right="142" w:firstLine="709"/>
        <w:jc w:val="center"/>
        <w:rPr>
          <w:b/>
          <w:lang w:val="en-US"/>
        </w:rPr>
      </w:pPr>
    </w:p>
    <w:p w14:paraId="0EF5A02F" w14:textId="77777777" w:rsidR="001854EF" w:rsidRDefault="00E01B28" w:rsidP="00FD38B5">
      <w:pPr>
        <w:spacing w:line="276" w:lineRule="auto"/>
        <w:ind w:right="-108"/>
        <w:jc w:val="center"/>
      </w:pPr>
      <w:r w:rsidRPr="00616F90">
        <w:t>за участие в процедура за възлагане на обществена поръчка</w:t>
      </w:r>
      <w:r w:rsidR="008729A5">
        <w:t xml:space="preserve"> чрез провеждане на публично състезание</w:t>
      </w:r>
      <w:r w:rsidRPr="00616F90">
        <w:t xml:space="preserve"> с предмет:</w:t>
      </w:r>
    </w:p>
    <w:p w14:paraId="000EE09D" w14:textId="77777777" w:rsidR="00616F90" w:rsidRPr="00616F90" w:rsidRDefault="00616F90" w:rsidP="00616F90">
      <w:pPr>
        <w:spacing w:line="276" w:lineRule="auto"/>
        <w:ind w:right="-285"/>
        <w:jc w:val="both"/>
      </w:pPr>
    </w:p>
    <w:p w14:paraId="55CBA556" w14:textId="77777777" w:rsidR="00616F90" w:rsidRPr="00616F90" w:rsidRDefault="00985ABE" w:rsidP="00616F90">
      <w:pPr>
        <w:pStyle w:val="BodyTextIndent2"/>
        <w:spacing w:line="276" w:lineRule="auto"/>
        <w:ind w:left="0"/>
        <w:jc w:val="both"/>
        <w:rPr>
          <w:b/>
          <w:color w:val="000000"/>
        </w:rPr>
      </w:pPr>
      <w:r w:rsidRPr="00FD38B5">
        <w:rPr>
          <w:b/>
        </w:rPr>
        <w:t>„Избор на изпълнители по обособени позиции за сервизно абонаментно поддържане на асансьорн</w:t>
      </w:r>
      <w:r w:rsidR="006640F6">
        <w:rPr>
          <w:b/>
        </w:rPr>
        <w:t>ите уредби и съоръжения в сградите</w:t>
      </w:r>
      <w:r w:rsidRPr="00FD38B5">
        <w:rPr>
          <w:b/>
        </w:rPr>
        <w:t xml:space="preserve"> – собственост на БНБ в град София и страната”</w:t>
      </w:r>
      <w:r w:rsidR="00616F90" w:rsidRPr="00616F90">
        <w:rPr>
          <w:b/>
          <w:color w:val="000000"/>
        </w:rPr>
        <w:t xml:space="preserve"> </w:t>
      </w:r>
      <w:r w:rsidR="00616F90">
        <w:rPr>
          <w:b/>
          <w:color w:val="000000"/>
        </w:rPr>
        <w:t xml:space="preserve"> </w:t>
      </w:r>
      <w:r w:rsidR="00616F90" w:rsidRPr="00FD38B5">
        <w:rPr>
          <w:color w:val="000000"/>
        </w:rPr>
        <w:t>в пет обособени позиции</w:t>
      </w:r>
      <w:r w:rsidR="00433AEE">
        <w:rPr>
          <w:color w:val="000000"/>
        </w:rPr>
        <w:t xml:space="preserve"> според мястото на изпълнение</w:t>
      </w:r>
      <w:r w:rsidR="00616F90" w:rsidRPr="00FD38B5">
        <w:rPr>
          <w:color w:val="000000"/>
        </w:rPr>
        <w:t>:</w:t>
      </w:r>
    </w:p>
    <w:p w14:paraId="0092C294" w14:textId="074F7478" w:rsidR="00616F90" w:rsidRPr="00616F90" w:rsidRDefault="00616F90" w:rsidP="00616F90">
      <w:pPr>
        <w:pStyle w:val="BodyTextIndent2"/>
        <w:spacing w:line="276" w:lineRule="auto"/>
        <w:ind w:left="0" w:firstLine="360"/>
        <w:jc w:val="both"/>
        <w:rPr>
          <w:iCs/>
        </w:rPr>
      </w:pPr>
      <w:r>
        <w:rPr>
          <w:b/>
        </w:rPr>
        <w:t xml:space="preserve">     </w:t>
      </w:r>
      <w:r w:rsidRPr="00616F90">
        <w:rPr>
          <w:b/>
        </w:rPr>
        <w:t xml:space="preserve">Обособена позиция № 1: </w:t>
      </w:r>
      <w:r w:rsidRPr="00616F90">
        <w:t xml:space="preserve">Извършване на абонаментна поддръжка и ремонт </w:t>
      </w:r>
      <w:r w:rsidRPr="00616F90">
        <w:rPr>
          <w:iCs/>
        </w:rPr>
        <w:t xml:space="preserve">на </w:t>
      </w:r>
      <w:r w:rsidR="00FC63E8">
        <w:rPr>
          <w:iCs/>
        </w:rPr>
        <w:t>асансьорни уредби</w:t>
      </w:r>
      <w:r w:rsidR="0055417B">
        <w:rPr>
          <w:iCs/>
        </w:rPr>
        <w:t xml:space="preserve"> и съоръжения</w:t>
      </w:r>
      <w:r w:rsidR="00FC63E8">
        <w:rPr>
          <w:iCs/>
        </w:rPr>
        <w:t xml:space="preserve"> в сградите на БНБ в гр. София и гр. Пловдив</w:t>
      </w:r>
      <w:r w:rsidR="00F414F9">
        <w:rPr>
          <w:iCs/>
        </w:rPr>
        <w:t>;</w:t>
      </w:r>
    </w:p>
    <w:p w14:paraId="193F679B" w14:textId="63580C58" w:rsidR="004D4FA6" w:rsidRDefault="00616F90" w:rsidP="00616F90">
      <w:pPr>
        <w:spacing w:line="276" w:lineRule="auto"/>
        <w:ind w:firstLine="708"/>
        <w:jc w:val="both"/>
      </w:pPr>
      <w:r w:rsidRPr="00616F90">
        <w:rPr>
          <w:b/>
        </w:rPr>
        <w:t>Обособена позиция № 2:</w:t>
      </w:r>
      <w:r w:rsidRPr="00616F90">
        <w:rPr>
          <w:rFonts w:eastAsia="Times New Roman"/>
          <w:lang w:eastAsia="en-US"/>
        </w:rPr>
        <w:t xml:space="preserve"> </w:t>
      </w:r>
      <w:r w:rsidR="002767E3" w:rsidRPr="00616F90">
        <w:t xml:space="preserve">Извършване на абонаментна поддръжка и ремонт </w:t>
      </w:r>
      <w:r w:rsidR="002767E3" w:rsidRPr="00616F90">
        <w:rPr>
          <w:iCs/>
        </w:rPr>
        <w:t xml:space="preserve">на </w:t>
      </w:r>
      <w:r w:rsidR="002767E3" w:rsidRPr="003C1374">
        <w:t xml:space="preserve">асансьорни уредби </w:t>
      </w:r>
      <w:r w:rsidR="00CA538F">
        <w:t xml:space="preserve">и съоръжения </w:t>
      </w:r>
      <w:r w:rsidR="003C1374" w:rsidRPr="003C1374">
        <w:t>в сградата на касово под</w:t>
      </w:r>
      <w:r w:rsidR="004D4FA6">
        <w:t>разделение на БНБ – гр. Плевен</w:t>
      </w:r>
    </w:p>
    <w:p w14:paraId="307675DC" w14:textId="43DE6C1A" w:rsidR="002767E3" w:rsidRDefault="00616F90" w:rsidP="00616F90">
      <w:pPr>
        <w:spacing w:line="276" w:lineRule="auto"/>
        <w:ind w:firstLine="708"/>
        <w:jc w:val="both"/>
        <w:rPr>
          <w:b/>
        </w:rPr>
      </w:pPr>
      <w:r w:rsidRPr="00616F90">
        <w:rPr>
          <w:b/>
        </w:rPr>
        <w:t xml:space="preserve">Обособена позиция № 3: </w:t>
      </w:r>
      <w:r w:rsidR="002767E3" w:rsidRPr="00616F90">
        <w:t xml:space="preserve">Извършване на абонаментна поддръжка и ремонт </w:t>
      </w:r>
      <w:r w:rsidR="002767E3" w:rsidRPr="00616F90">
        <w:rPr>
          <w:iCs/>
        </w:rPr>
        <w:t xml:space="preserve">на </w:t>
      </w:r>
      <w:r w:rsidR="002767E3">
        <w:rPr>
          <w:iCs/>
        </w:rPr>
        <w:t xml:space="preserve">асансьорни </w:t>
      </w:r>
      <w:r w:rsidR="004D4FA6">
        <w:t xml:space="preserve">уредби </w:t>
      </w:r>
      <w:r w:rsidR="00CA538F">
        <w:t xml:space="preserve">и съоръжения </w:t>
      </w:r>
      <w:r w:rsidR="004D4FA6">
        <w:t>в</w:t>
      </w:r>
      <w:r w:rsidR="0025292D">
        <w:t xml:space="preserve"> сградата на почивна база на БНБ</w:t>
      </w:r>
      <w:r w:rsidR="009B7690" w:rsidRPr="009B7690">
        <w:t xml:space="preserve"> – г</w:t>
      </w:r>
      <w:r w:rsidR="009B7690">
        <w:t>р. П</w:t>
      </w:r>
      <w:r w:rsidR="009B7690" w:rsidRPr="009B7690">
        <w:t>риморско</w:t>
      </w:r>
      <w:r w:rsidR="009B7690">
        <w:t>;</w:t>
      </w:r>
    </w:p>
    <w:p w14:paraId="4B944204" w14:textId="46E5FD02" w:rsidR="00E449F7" w:rsidRPr="00E449F7" w:rsidRDefault="00616F90" w:rsidP="00616F90">
      <w:pPr>
        <w:spacing w:line="276" w:lineRule="auto"/>
        <w:ind w:firstLine="708"/>
        <w:jc w:val="both"/>
      </w:pPr>
      <w:r w:rsidRPr="00616F90">
        <w:rPr>
          <w:b/>
        </w:rPr>
        <w:t xml:space="preserve">Обособена позиция № 4: </w:t>
      </w:r>
      <w:r w:rsidR="002767E3" w:rsidRPr="00616F90">
        <w:t xml:space="preserve">Извършване на абонаментна поддръжка и ремонт </w:t>
      </w:r>
      <w:r w:rsidR="002767E3" w:rsidRPr="00E449F7">
        <w:t>на асансьорни уредби</w:t>
      </w:r>
      <w:r w:rsidR="00CA538F">
        <w:t xml:space="preserve"> и съоръжения</w:t>
      </w:r>
      <w:r w:rsidR="002767E3" w:rsidRPr="00E449F7">
        <w:t xml:space="preserve"> </w:t>
      </w:r>
      <w:r w:rsidR="00E449F7" w:rsidRPr="00E449F7">
        <w:t>в</w:t>
      </w:r>
      <w:r w:rsidR="00E449F7">
        <w:t xml:space="preserve"> сградата на почивна база на БНБ</w:t>
      </w:r>
      <w:r w:rsidR="006E23E5">
        <w:t xml:space="preserve"> </w:t>
      </w:r>
      <w:r w:rsidR="00E449F7">
        <w:t>–</w:t>
      </w:r>
      <w:r w:rsidR="006E23E5">
        <w:t xml:space="preserve"> </w:t>
      </w:r>
      <w:r w:rsidR="00E449F7">
        <w:t xml:space="preserve"> </w:t>
      </w:r>
      <w:proofErr w:type="spellStart"/>
      <w:r w:rsidR="00E449F7">
        <w:t>к.к</w:t>
      </w:r>
      <w:proofErr w:type="spellEnd"/>
      <w:r w:rsidR="00E449F7">
        <w:t>. „св.св. К</w:t>
      </w:r>
      <w:r w:rsidR="00E449F7" w:rsidRPr="00E449F7">
        <w:t xml:space="preserve">онстантин и </w:t>
      </w:r>
      <w:r w:rsidR="00E449F7">
        <w:t>Елена”, гр. В</w:t>
      </w:r>
      <w:r w:rsidR="00E449F7" w:rsidRPr="00E449F7">
        <w:t>арна</w:t>
      </w:r>
      <w:r w:rsidR="00E449F7">
        <w:t>;</w:t>
      </w:r>
    </w:p>
    <w:p w14:paraId="11B5616B" w14:textId="307E018F" w:rsidR="00E01B28" w:rsidRPr="006D7AEF" w:rsidRDefault="00616F90" w:rsidP="006D7AEF">
      <w:pPr>
        <w:spacing w:line="276" w:lineRule="auto"/>
        <w:ind w:firstLine="708"/>
        <w:jc w:val="both"/>
      </w:pPr>
      <w:r w:rsidRPr="00616F90">
        <w:rPr>
          <w:b/>
        </w:rPr>
        <w:t xml:space="preserve">Обособена позиция № 5: </w:t>
      </w:r>
      <w:r w:rsidR="002767E3" w:rsidRPr="00616F90">
        <w:t xml:space="preserve">Извършване на абонаментна поддръжка и ремонт </w:t>
      </w:r>
      <w:r w:rsidR="002767E3" w:rsidRPr="00616F90">
        <w:rPr>
          <w:iCs/>
        </w:rPr>
        <w:t xml:space="preserve">на </w:t>
      </w:r>
      <w:r w:rsidR="002767E3" w:rsidRPr="006D7AEF">
        <w:t xml:space="preserve">асансьорни уредби </w:t>
      </w:r>
      <w:r w:rsidR="00CA538F">
        <w:t xml:space="preserve">и съоръжения </w:t>
      </w:r>
      <w:r w:rsidR="006D7AEF" w:rsidRPr="006D7AEF">
        <w:t>в сградата на касово подразделение</w:t>
      </w:r>
      <w:r w:rsidR="006D7AEF">
        <w:t xml:space="preserve"> на БНБ</w:t>
      </w:r>
      <w:r w:rsidR="006D7AEF" w:rsidRPr="006D7AEF">
        <w:t xml:space="preserve"> – </w:t>
      </w:r>
      <w:r w:rsidR="006D7AEF">
        <w:t xml:space="preserve"> гр. </w:t>
      </w:r>
      <w:proofErr w:type="spellStart"/>
      <w:r w:rsidR="006D7AEF">
        <w:t>Б</w:t>
      </w:r>
      <w:r w:rsidR="00CA538F">
        <w:t>урга</w:t>
      </w:r>
      <w:proofErr w:type="spellEnd"/>
      <w:r w:rsidR="00CA538F">
        <w:t>;</w:t>
      </w:r>
    </w:p>
    <w:p w14:paraId="76670C73" w14:textId="77777777" w:rsidR="003D5FB5" w:rsidRDefault="003D5FB5" w:rsidP="00E01B28">
      <w:pPr>
        <w:spacing w:line="276" w:lineRule="auto"/>
        <w:ind w:firstLine="709"/>
        <w:jc w:val="both"/>
        <w:rPr>
          <w:b/>
          <w:caps/>
        </w:rPr>
      </w:pPr>
    </w:p>
    <w:p w14:paraId="6A559C06" w14:textId="77777777" w:rsidR="00E01B28" w:rsidRPr="00616F90" w:rsidRDefault="00E01B28" w:rsidP="00E01B28">
      <w:pPr>
        <w:spacing w:line="276" w:lineRule="auto"/>
        <w:ind w:firstLine="709"/>
        <w:jc w:val="both"/>
        <w:rPr>
          <w:b/>
          <w:caps/>
        </w:rPr>
      </w:pPr>
      <w:r w:rsidRPr="00616F90">
        <w:rPr>
          <w:b/>
          <w:caps/>
        </w:rPr>
        <w:t>І . Общи условия</w:t>
      </w:r>
    </w:p>
    <w:p w14:paraId="714F82F2" w14:textId="77777777" w:rsidR="00E01B28" w:rsidRPr="00616F90" w:rsidRDefault="00E01B28" w:rsidP="00E01B28">
      <w:pPr>
        <w:tabs>
          <w:tab w:val="left" w:pos="709"/>
          <w:tab w:val="left" w:pos="8931"/>
          <w:tab w:val="left" w:pos="9214"/>
        </w:tabs>
        <w:spacing w:line="276" w:lineRule="auto"/>
        <w:ind w:firstLine="709"/>
        <w:jc w:val="both"/>
      </w:pPr>
      <w:r w:rsidRPr="00616F90">
        <w:rPr>
          <w:b/>
        </w:rPr>
        <w:t>1.</w:t>
      </w:r>
      <w:r w:rsidRPr="00616F90">
        <w:t xml:space="preserve"> Участникът</w:t>
      </w:r>
      <w:r w:rsidR="004360DD">
        <w:t xml:space="preserve"> </w:t>
      </w:r>
      <w:r w:rsidRPr="00616F90">
        <w:t>е длъжен да спазва сроковете и условията, посочени в обявлението и документацията за обществената поръчка.</w:t>
      </w:r>
    </w:p>
    <w:p w14:paraId="125F65EB" w14:textId="77777777" w:rsidR="00E01B28" w:rsidRPr="00616F90" w:rsidRDefault="00E01B28" w:rsidP="00E01B28">
      <w:pPr>
        <w:tabs>
          <w:tab w:val="left" w:pos="8931"/>
          <w:tab w:val="left" w:pos="9214"/>
        </w:tabs>
        <w:spacing w:line="276" w:lineRule="auto"/>
        <w:ind w:firstLine="709"/>
        <w:jc w:val="both"/>
      </w:pPr>
      <w:r w:rsidRPr="00616F90">
        <w:t xml:space="preserve"> </w:t>
      </w:r>
      <w:r w:rsidRPr="00616F90">
        <w:rPr>
          <w:b/>
        </w:rPr>
        <w:t>2.</w:t>
      </w:r>
      <w:r w:rsidRPr="00616F90">
        <w:t xml:space="preserve"> Разходите, свързани с изготвянето и подаването на офертата са за сметка на участника. Участниците не могат да имат претенции за направените от тях разходи във връзка с участието им  в процедурата. </w:t>
      </w:r>
    </w:p>
    <w:p w14:paraId="3027B5B9" w14:textId="77777777" w:rsidR="00167345" w:rsidRDefault="00AE4BD2" w:rsidP="00E01B28">
      <w:pPr>
        <w:spacing w:line="276" w:lineRule="auto"/>
        <w:ind w:firstLine="709"/>
        <w:jc w:val="both"/>
        <w:rPr>
          <w:i/>
        </w:rPr>
      </w:pPr>
      <w:r>
        <w:rPr>
          <w:i/>
        </w:rPr>
        <w:t>БНБ</w:t>
      </w:r>
      <w:r w:rsidR="00E01B28" w:rsidRPr="00616F90">
        <w:rPr>
          <w:i/>
        </w:rPr>
        <w:t xml:space="preserve">  предоставя неограничен, пълен, безплатен и пряк достъп по електронен път до документацията за обществената поръчка, която може да бъде намерена в електронната преписка на поръчката на интернет адреса на възложителя: </w:t>
      </w:r>
    </w:p>
    <w:p w14:paraId="70D5A057" w14:textId="7155D393" w:rsidR="00B67D64" w:rsidRDefault="000D288F" w:rsidP="00E01B28">
      <w:pPr>
        <w:spacing w:line="276" w:lineRule="auto"/>
        <w:ind w:firstLine="709"/>
        <w:jc w:val="both"/>
      </w:pPr>
      <w:hyperlink r:id="rId7" w:history="1">
        <w:r w:rsidR="00167345" w:rsidRPr="00167345">
          <w:rPr>
            <w:rStyle w:val="Hyperlink"/>
          </w:rPr>
          <w:t>http://www.bnb.bg/AboutUs/AUPublicProcurements/AUPPList/PP_01224-2017-0023_BG</w:t>
        </w:r>
      </w:hyperlink>
    </w:p>
    <w:p w14:paraId="4E751DBE" w14:textId="77777777" w:rsidR="00E01B28" w:rsidRPr="00616F90" w:rsidRDefault="00E01B28" w:rsidP="00E01B28">
      <w:pPr>
        <w:spacing w:line="276" w:lineRule="auto"/>
        <w:ind w:firstLine="709"/>
        <w:jc w:val="both"/>
      </w:pPr>
      <w:r w:rsidRPr="00616F90">
        <w:t>Всички взаимоотношения между страните, свързани с организирането и провеждането на процедурата се регламентират от ЗОП, ППЗОП и документацията по настоящата процедура, одобрена с решението на възложителя за откриване на процедурата.</w:t>
      </w:r>
    </w:p>
    <w:p w14:paraId="7E02F0D7" w14:textId="77777777" w:rsidR="00E01B28" w:rsidRPr="00616F90" w:rsidRDefault="00E01B28" w:rsidP="00E01B28">
      <w:pPr>
        <w:spacing w:line="276" w:lineRule="auto"/>
        <w:ind w:firstLine="709"/>
        <w:jc w:val="both"/>
      </w:pPr>
      <w:r w:rsidRPr="00616F90">
        <w:rPr>
          <w:b/>
        </w:rPr>
        <w:t>3.</w:t>
      </w:r>
      <w:r w:rsidRPr="00616F90">
        <w:t xml:space="preserve"> Офертата следва да бъде представена на адреса, посочен в обявлението за  поръчка, не по-късно от деня и часа, определени като краен срок за получаване на оферти.</w:t>
      </w:r>
    </w:p>
    <w:p w14:paraId="51DE5ABF" w14:textId="77777777" w:rsidR="0068213C" w:rsidRPr="00515126" w:rsidRDefault="00E01B28" w:rsidP="0068213C">
      <w:pPr>
        <w:spacing w:line="276" w:lineRule="auto"/>
        <w:ind w:firstLine="709"/>
        <w:jc w:val="both"/>
        <w:rPr>
          <w:rFonts w:eastAsia="Times New Roman"/>
        </w:rPr>
      </w:pPr>
      <w:r w:rsidRPr="00616F90">
        <w:rPr>
          <w:b/>
        </w:rPr>
        <w:lastRenderedPageBreak/>
        <w:t>4.</w:t>
      </w:r>
      <w:r w:rsidRPr="00616F90">
        <w:t xml:space="preserve"> </w:t>
      </w:r>
      <w:r w:rsidR="0068213C" w:rsidRPr="00515126">
        <w:rPr>
          <w:rFonts w:eastAsia="Times New Roman"/>
        </w:rPr>
        <w:t xml:space="preserve">Всеки участник има право да представи само една оферта по съответната обособена позиция. </w:t>
      </w:r>
      <w:r w:rsidR="0068213C" w:rsidRPr="0068213C">
        <w:rPr>
          <w:rFonts w:eastAsia="Times New Roman"/>
          <w:u w:val="single"/>
        </w:rPr>
        <w:t>Оферти мо</w:t>
      </w:r>
      <w:r w:rsidR="0095043C">
        <w:rPr>
          <w:rFonts w:eastAsia="Times New Roman"/>
          <w:u w:val="single"/>
        </w:rPr>
        <w:t>гат да се представят за една,</w:t>
      </w:r>
      <w:r w:rsidR="0068213C" w:rsidRPr="0068213C">
        <w:rPr>
          <w:rFonts w:eastAsia="Times New Roman"/>
          <w:u w:val="single"/>
        </w:rPr>
        <w:t xml:space="preserve"> няколко</w:t>
      </w:r>
      <w:r w:rsidR="0095043C">
        <w:rPr>
          <w:rFonts w:eastAsia="Times New Roman"/>
          <w:u w:val="single"/>
        </w:rPr>
        <w:t xml:space="preserve"> или всички</w:t>
      </w:r>
      <w:r w:rsidR="0068213C" w:rsidRPr="0068213C">
        <w:rPr>
          <w:rFonts w:eastAsia="Times New Roman"/>
          <w:u w:val="single"/>
        </w:rPr>
        <w:t xml:space="preserve"> обособени позиции. Няма ограничение в броя на обособените позиции, които могат да бъдат възложени на еди</w:t>
      </w:r>
      <w:r w:rsidR="0068213C">
        <w:rPr>
          <w:rFonts w:eastAsia="Times New Roman"/>
          <w:u w:val="single"/>
        </w:rPr>
        <w:t>н и същ участник за изпълнение</w:t>
      </w:r>
      <w:r w:rsidR="00B10AA1">
        <w:rPr>
          <w:rFonts w:eastAsia="Times New Roman"/>
          <w:u w:val="single"/>
        </w:rPr>
        <w:t xml:space="preserve">, като участниците са длъжни да оферират обслужване на всички асансьорни уредби </w:t>
      </w:r>
      <w:r w:rsidR="00783308">
        <w:rPr>
          <w:rFonts w:eastAsia="Times New Roman"/>
          <w:u w:val="single"/>
        </w:rPr>
        <w:t xml:space="preserve">и съоръжения </w:t>
      </w:r>
      <w:r w:rsidR="00B10AA1">
        <w:rPr>
          <w:rFonts w:eastAsia="Times New Roman"/>
          <w:u w:val="single"/>
        </w:rPr>
        <w:t>в съответната обособена позиция</w:t>
      </w:r>
      <w:r w:rsidR="0068213C">
        <w:rPr>
          <w:rFonts w:eastAsia="Times New Roman"/>
          <w:u w:val="single"/>
        </w:rPr>
        <w:t>.</w:t>
      </w:r>
      <w:r w:rsidR="0068213C" w:rsidRPr="0068213C">
        <w:rPr>
          <w:rFonts w:eastAsia="Times New Roman"/>
        </w:rPr>
        <w:t xml:space="preserve"> </w:t>
      </w:r>
      <w:r w:rsidR="0068213C" w:rsidRPr="00515126">
        <w:rPr>
          <w:rFonts w:eastAsia="Times New Roman"/>
        </w:rPr>
        <w:t>За всяка от позициите се подготвя отделно Техническо предложение и отделно Ценово предложение, съгласно приложените към документацията за обществената поръчка образци. Върху опаковката на подадената оферта се отбелязва наименованието на обществената поръчка и обособената/</w:t>
      </w:r>
      <w:proofErr w:type="spellStart"/>
      <w:r w:rsidR="0068213C" w:rsidRPr="00515126">
        <w:rPr>
          <w:rFonts w:eastAsia="Times New Roman"/>
        </w:rPr>
        <w:t>ите</w:t>
      </w:r>
      <w:proofErr w:type="spellEnd"/>
      <w:r w:rsidR="0068213C" w:rsidRPr="00515126">
        <w:rPr>
          <w:rFonts w:eastAsia="Times New Roman"/>
        </w:rPr>
        <w:t xml:space="preserve"> позиция/</w:t>
      </w:r>
      <w:proofErr w:type="spellStart"/>
      <w:r w:rsidR="0068213C" w:rsidRPr="00515126">
        <w:rPr>
          <w:rFonts w:eastAsia="Times New Roman"/>
        </w:rPr>
        <w:t>ии</w:t>
      </w:r>
      <w:proofErr w:type="spellEnd"/>
      <w:r w:rsidR="0068213C" w:rsidRPr="00515126">
        <w:rPr>
          <w:rFonts w:eastAsia="Times New Roman"/>
        </w:rPr>
        <w:t>, за която/</w:t>
      </w:r>
      <w:proofErr w:type="spellStart"/>
      <w:r w:rsidR="0068213C" w:rsidRPr="00515126">
        <w:rPr>
          <w:rFonts w:eastAsia="Times New Roman"/>
        </w:rPr>
        <w:t>ито</w:t>
      </w:r>
      <w:proofErr w:type="spellEnd"/>
      <w:r w:rsidR="0068213C" w:rsidRPr="00515126">
        <w:rPr>
          <w:rFonts w:eastAsia="Times New Roman"/>
        </w:rPr>
        <w:t xml:space="preserve"> се подава оферта. </w:t>
      </w:r>
    </w:p>
    <w:p w14:paraId="36A4A76F" w14:textId="212C66DB" w:rsidR="00E01B28" w:rsidRPr="005E02DA" w:rsidRDefault="00E01B28" w:rsidP="00586491">
      <w:pPr>
        <w:spacing w:line="276" w:lineRule="auto"/>
        <w:ind w:firstLine="709"/>
        <w:jc w:val="both"/>
        <w:rPr>
          <w:rFonts w:eastAsia="Calibri"/>
        </w:rPr>
      </w:pPr>
      <w:r w:rsidRPr="00616F90">
        <w:rPr>
          <w:rFonts w:eastAsia="Calibri"/>
          <w:b/>
          <w:bCs/>
        </w:rPr>
        <w:t>5.</w:t>
      </w:r>
      <w:r w:rsidRPr="005E02DA">
        <w:rPr>
          <w:rFonts w:eastAsia="Calibri"/>
        </w:rPr>
        <w:t xml:space="preserve"> Лице, което участва в обединение или е дало съгласие да бъде подизпълнител на друг участник по някоя от или по всички обособени позиции, не може да подава самостоятелна оферта. Едно физическо или юридическо лице може да участва само в едно обединение.</w:t>
      </w:r>
    </w:p>
    <w:p w14:paraId="65B81C39" w14:textId="3F729B0D" w:rsidR="00E01B28" w:rsidRPr="005E02DA" w:rsidRDefault="00586491" w:rsidP="00E01B28">
      <w:pPr>
        <w:spacing w:line="276" w:lineRule="auto"/>
        <w:ind w:firstLine="709"/>
        <w:jc w:val="both"/>
        <w:rPr>
          <w:lang w:val="en-US"/>
        </w:rPr>
      </w:pPr>
      <w:r>
        <w:rPr>
          <w:b/>
          <w:lang w:val="en-US"/>
        </w:rPr>
        <w:t>6</w:t>
      </w:r>
      <w:r w:rsidR="00E01B28" w:rsidRPr="005E02DA">
        <w:rPr>
          <w:b/>
        </w:rPr>
        <w:t>.</w:t>
      </w:r>
      <w:r w:rsidR="00E01B28" w:rsidRPr="005E02DA">
        <w:t xml:space="preserve"> Не се допуска представяне на варианти на офертата.</w:t>
      </w:r>
    </w:p>
    <w:p w14:paraId="631F9ACF" w14:textId="77777777" w:rsidR="00E01B28" w:rsidRPr="005E02DA" w:rsidRDefault="00E01B28" w:rsidP="00E01B28">
      <w:pPr>
        <w:spacing w:line="276" w:lineRule="auto"/>
        <w:ind w:firstLine="709"/>
        <w:jc w:val="both"/>
        <w:rPr>
          <w:b/>
          <w:caps/>
          <w:lang w:val="en-US"/>
        </w:rPr>
      </w:pPr>
    </w:p>
    <w:p w14:paraId="4E82EAD0" w14:textId="77777777" w:rsidR="00E01B28" w:rsidRPr="005E02DA" w:rsidRDefault="0020427E" w:rsidP="0020427E">
      <w:pPr>
        <w:tabs>
          <w:tab w:val="left" w:pos="284"/>
        </w:tabs>
        <w:spacing w:line="276" w:lineRule="auto"/>
        <w:jc w:val="both"/>
        <w:rPr>
          <w:b/>
          <w:caps/>
        </w:rPr>
      </w:pPr>
      <w:r>
        <w:rPr>
          <w:b/>
          <w:caps/>
        </w:rPr>
        <w:tab/>
      </w:r>
      <w:r>
        <w:rPr>
          <w:b/>
          <w:caps/>
        </w:rPr>
        <w:tab/>
      </w:r>
      <w:r w:rsidR="00E01B28" w:rsidRPr="005E02DA">
        <w:rPr>
          <w:b/>
          <w:caps/>
        </w:rPr>
        <w:t>ІІ.  Право на участие в процедурата</w:t>
      </w:r>
    </w:p>
    <w:p w14:paraId="0F7711D2" w14:textId="77777777" w:rsidR="00E01B28" w:rsidRPr="005E02DA" w:rsidRDefault="006704EE" w:rsidP="006704EE">
      <w:pPr>
        <w:tabs>
          <w:tab w:val="left" w:pos="284"/>
        </w:tabs>
        <w:spacing w:line="276" w:lineRule="auto"/>
        <w:ind w:left="284"/>
        <w:jc w:val="both"/>
      </w:pPr>
      <w:r>
        <w:rPr>
          <w:b/>
          <w:lang w:val="en-US"/>
        </w:rPr>
        <w:tab/>
      </w:r>
      <w:r w:rsidR="00E01B28" w:rsidRPr="005E02DA">
        <w:rPr>
          <w:b/>
          <w:lang w:val="en-US"/>
        </w:rPr>
        <w:t>1.</w:t>
      </w:r>
      <w:r w:rsidR="00E01B28" w:rsidRPr="005E02DA">
        <w:rPr>
          <w:lang w:val="en-US"/>
        </w:rPr>
        <w:t xml:space="preserve"> </w:t>
      </w:r>
      <w:r w:rsidR="00E01B28" w:rsidRPr="005E02DA">
        <w:t>Право да участва има лице, което отговаря на условията на чл. 10, ал. 1 от ЗОП и:</w:t>
      </w:r>
    </w:p>
    <w:p w14:paraId="65F35A1D" w14:textId="77777777" w:rsidR="00E01B28" w:rsidRPr="005E02DA" w:rsidRDefault="006704EE" w:rsidP="006704EE">
      <w:pPr>
        <w:tabs>
          <w:tab w:val="left" w:pos="284"/>
        </w:tabs>
        <w:spacing w:line="276" w:lineRule="auto"/>
        <w:jc w:val="both"/>
      </w:pPr>
      <w:r>
        <w:tab/>
      </w:r>
      <w:r>
        <w:tab/>
      </w:r>
      <w:r w:rsidR="00E01B28" w:rsidRPr="005E02DA">
        <w:t>а) което подаде оферта за участие в оповестената процедура;</w:t>
      </w:r>
      <w:r w:rsidR="00E01B28" w:rsidRPr="005E02DA">
        <w:tab/>
      </w:r>
    </w:p>
    <w:p w14:paraId="43D4E68C" w14:textId="77777777" w:rsidR="00E01B28" w:rsidRPr="005E02DA" w:rsidRDefault="006704EE" w:rsidP="006704EE">
      <w:pPr>
        <w:tabs>
          <w:tab w:val="left" w:pos="284"/>
        </w:tabs>
        <w:spacing w:line="276" w:lineRule="auto"/>
        <w:jc w:val="both"/>
      </w:pPr>
      <w:r>
        <w:tab/>
      </w:r>
      <w:r>
        <w:tab/>
      </w:r>
      <w:r w:rsidR="00E01B28" w:rsidRPr="005E02DA">
        <w:t xml:space="preserve">б) спрямо което не са налице обстоятелствата по </w:t>
      </w:r>
      <w:r w:rsidR="00E01B28" w:rsidRPr="005E02DA">
        <w:rPr>
          <w:iCs/>
          <w:lang w:eastAsia="zh-CN"/>
        </w:rPr>
        <w:t>чл. 54, ал. 1 и посочените от възложителя в обявлението за поръчка обстоятелства по чл. 55, ал. 1</w:t>
      </w:r>
      <w:r w:rsidR="00063252">
        <w:rPr>
          <w:iCs/>
          <w:lang w:eastAsia="zh-CN"/>
        </w:rPr>
        <w:t>, т. 1</w:t>
      </w:r>
      <w:r w:rsidR="00E01B28" w:rsidRPr="005E02DA">
        <w:rPr>
          <w:iCs/>
          <w:lang w:eastAsia="zh-CN"/>
        </w:rPr>
        <w:t xml:space="preserve"> от ЗОП</w:t>
      </w:r>
      <w:r w:rsidR="00E01B28" w:rsidRPr="005E02DA">
        <w:t>;</w:t>
      </w:r>
    </w:p>
    <w:p w14:paraId="26258A5B" w14:textId="77777777" w:rsidR="008F5961" w:rsidRDefault="00E01B28" w:rsidP="005D0233">
      <w:pPr>
        <w:spacing w:line="276" w:lineRule="auto"/>
        <w:ind w:firstLine="709"/>
        <w:jc w:val="both"/>
      </w:pPr>
      <w:r w:rsidRPr="005E02DA">
        <w:t>в) което не е дружество</w:t>
      </w:r>
      <w:r w:rsidRPr="005E02DA">
        <w:rPr>
          <w:vertAlign w:val="superscript"/>
        </w:rPr>
        <w:footnoteReference w:id="1"/>
      </w:r>
      <w:r w:rsidRPr="005E02DA">
        <w:t xml:space="preserve"> или лице, контролирано от дружество</w:t>
      </w:r>
      <w:r w:rsidRPr="005E02DA">
        <w:rPr>
          <w:vertAlign w:val="superscript"/>
        </w:rPr>
        <w:footnoteReference w:id="2"/>
      </w:r>
      <w:r w:rsidRPr="005E02DA">
        <w:t>, или обединение от лица, в което участва дружество</w:t>
      </w:r>
      <w:r w:rsidRPr="005E02DA">
        <w:rPr>
          <w:vertAlign w:val="superscript"/>
        </w:rPr>
        <w:footnoteReference w:id="3"/>
      </w:r>
      <w:r w:rsidRPr="005E02DA">
        <w:t xml:space="preserve">, регистрирано в юрисдикция с преференциален данъчен режим или контролирано от такова дружество, освен ако е налице изключение, съгласно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w:t>
      </w:r>
    </w:p>
    <w:p w14:paraId="0630BB15" w14:textId="77777777" w:rsidR="00E01B28" w:rsidRPr="005E02DA" w:rsidRDefault="00E01B28" w:rsidP="00E01B28">
      <w:pPr>
        <w:spacing w:line="276" w:lineRule="auto"/>
        <w:ind w:firstLine="709"/>
        <w:jc w:val="both"/>
      </w:pPr>
      <w:r w:rsidRPr="005E02DA">
        <w:t>г) което отговаря на обявените от възложителя условия за допустимост, определени с критериите за подбор,</w:t>
      </w:r>
      <w:r w:rsidRPr="005E02DA">
        <w:rPr>
          <w:b/>
        </w:rPr>
        <w:t xml:space="preserve"> </w:t>
      </w:r>
      <w:r w:rsidRPr="005E02DA">
        <w:t xml:space="preserve"> </w:t>
      </w:r>
      <w:r w:rsidR="00932F15">
        <w:t xml:space="preserve">валидни за всички обособени позиции, </w:t>
      </w:r>
      <w:r w:rsidRPr="005E02DA">
        <w:t>както следва:</w:t>
      </w:r>
    </w:p>
    <w:p w14:paraId="1685C75C" w14:textId="77777777" w:rsidR="00885AA9" w:rsidRDefault="00885AA9" w:rsidP="00E01B28">
      <w:pPr>
        <w:spacing w:line="276" w:lineRule="auto"/>
        <w:jc w:val="both"/>
        <w:rPr>
          <w:b/>
        </w:rPr>
      </w:pPr>
    </w:p>
    <w:p w14:paraId="253DC6C7" w14:textId="77777777" w:rsidR="004360DD" w:rsidRDefault="00E01B28" w:rsidP="00885AA9">
      <w:pPr>
        <w:spacing w:line="276" w:lineRule="auto"/>
        <w:ind w:firstLine="708"/>
        <w:jc w:val="both"/>
        <w:rPr>
          <w:b/>
        </w:rPr>
      </w:pPr>
      <w:r w:rsidRPr="005E02DA">
        <w:rPr>
          <w:b/>
        </w:rPr>
        <w:t xml:space="preserve">1.1. </w:t>
      </w:r>
      <w:r w:rsidR="004360DD">
        <w:rPr>
          <w:b/>
        </w:rPr>
        <w:t>Годност (правоспособност) за упражняване на професионална дейност</w:t>
      </w:r>
      <w:r w:rsidR="00261006">
        <w:rPr>
          <w:b/>
        </w:rPr>
        <w:t>, съгласно чл. 60 от ЗОП</w:t>
      </w:r>
    </w:p>
    <w:p w14:paraId="4DFF762A" w14:textId="77777777" w:rsidR="004360DD" w:rsidRPr="005B038B" w:rsidRDefault="004360DD" w:rsidP="00054AEB">
      <w:pPr>
        <w:tabs>
          <w:tab w:val="left" w:pos="-567"/>
          <w:tab w:val="left" w:pos="993"/>
        </w:tabs>
        <w:spacing w:line="276" w:lineRule="auto"/>
        <w:ind w:firstLine="709"/>
        <w:jc w:val="both"/>
        <w:rPr>
          <w:rFonts w:eastAsia="Calibri"/>
          <w:color w:val="000000"/>
          <w:lang w:eastAsia="en-US"/>
        </w:rPr>
      </w:pPr>
      <w:r w:rsidRPr="005B038B">
        <w:rPr>
          <w:rFonts w:eastAsia="Calibri"/>
          <w:bCs/>
          <w:lang w:eastAsia="en-US"/>
        </w:rPr>
        <w:t>Участниците следва да са вписани</w:t>
      </w:r>
      <w:r w:rsidRPr="005B038B">
        <w:rPr>
          <w:rFonts w:eastAsia="Calibri"/>
          <w:b/>
          <w:bCs/>
          <w:lang w:eastAsia="en-US"/>
        </w:rPr>
        <w:t xml:space="preserve"> </w:t>
      </w:r>
      <w:r w:rsidRPr="005B038B">
        <w:rPr>
          <w:rFonts w:eastAsia="Calibri"/>
          <w:lang w:eastAsia="en-US"/>
        </w:rPr>
        <w:t xml:space="preserve">в регистъра на лицата, лицензирани да извършват дейности </w:t>
      </w:r>
      <w:r w:rsidRPr="005B038B">
        <w:rPr>
          <w:rFonts w:eastAsia="Calibri"/>
          <w:color w:val="000000"/>
          <w:lang w:eastAsia="en-US"/>
        </w:rPr>
        <w:t xml:space="preserve">по поддържане, ремонтиране и преустройване на съоръжения с повишена опасност, издадено съгласно чл. 36, ал. 1 от Закона за техническите изисквания към продуктите от председателя на Държавната агенция за метрологичен и технически надзор или от оправомощени от него длъжностни лица от Главна дирекция </w:t>
      </w:r>
      <w:r w:rsidRPr="005B038B">
        <w:rPr>
          <w:rFonts w:eastAsia="Calibri"/>
          <w:color w:val="000000"/>
          <w:lang w:eastAsia="en-US"/>
        </w:rPr>
        <w:lastRenderedPageBreak/>
        <w:t xml:space="preserve">„Инспекция за държавен технически надзор”. </w:t>
      </w:r>
    </w:p>
    <w:p w14:paraId="5C651A19" w14:textId="77777777" w:rsidR="004360DD" w:rsidRDefault="004360DD" w:rsidP="004360DD">
      <w:pPr>
        <w:spacing w:line="276" w:lineRule="auto"/>
        <w:ind w:firstLine="708"/>
        <w:jc w:val="both"/>
      </w:pPr>
      <w:r>
        <w:rPr>
          <w:bCs/>
        </w:rPr>
        <w:t xml:space="preserve">За доказване на наличието на  </w:t>
      </w:r>
      <w:r>
        <w:t>правоспособност</w:t>
      </w:r>
      <w:r w:rsidRPr="00D94D63">
        <w:t xml:space="preserve"> за упражняване на професионална дейност</w:t>
      </w:r>
      <w:r>
        <w:t>, участниците следва да притежават валидно удостоверение за това, издадено от председателя на Държавната агенция за метрологичен и технически надзор или оправомощени от него длъжностни лица от Главна дирекция  „Инспекция за държавен технически надзор“.</w:t>
      </w:r>
    </w:p>
    <w:p w14:paraId="2DA7200D" w14:textId="77777777" w:rsidR="004360DD" w:rsidRDefault="004360DD" w:rsidP="004360DD">
      <w:pPr>
        <w:spacing w:line="276" w:lineRule="auto"/>
        <w:ind w:firstLine="708"/>
        <w:jc w:val="both"/>
      </w:pPr>
      <w:r>
        <w:t xml:space="preserve">При подаване на офертата участниците </w:t>
      </w:r>
      <w:r w:rsidR="00885AA9">
        <w:t xml:space="preserve">декларират съответствието с този критерий за подбор в </w:t>
      </w:r>
      <w:r w:rsidR="00885AA9" w:rsidRPr="00261006">
        <w:rPr>
          <w:b/>
        </w:rPr>
        <w:t xml:space="preserve">част </w:t>
      </w:r>
      <w:r w:rsidR="00885AA9" w:rsidRPr="00261006">
        <w:rPr>
          <w:b/>
          <w:lang w:val="en-US"/>
        </w:rPr>
        <w:t>IV</w:t>
      </w:r>
      <w:r w:rsidR="00885AA9" w:rsidRPr="00261006">
        <w:rPr>
          <w:b/>
        </w:rPr>
        <w:t xml:space="preserve">, раздел А „Годност“, т.1 на Единния европейски документ за обществени поръчки </w:t>
      </w:r>
      <w:r w:rsidR="00885AA9" w:rsidRPr="00261006">
        <w:rPr>
          <w:b/>
          <w:lang w:val="en-US"/>
        </w:rPr>
        <w:t>(</w:t>
      </w:r>
      <w:r w:rsidR="00885AA9" w:rsidRPr="00261006">
        <w:rPr>
          <w:b/>
        </w:rPr>
        <w:t>ЕЕДОП</w:t>
      </w:r>
      <w:r w:rsidR="00885AA9" w:rsidRPr="00261006">
        <w:rPr>
          <w:b/>
          <w:lang w:val="en-US"/>
        </w:rPr>
        <w:t>)</w:t>
      </w:r>
      <w:r w:rsidR="00885AA9">
        <w:t>, неразделна част от документацията за участие в настоящата процедура. Ако съответната информация е на разположение в електронен формат се посочва уеб адрес, орган или служба, издаващи документа и точно позоваване на документа.</w:t>
      </w:r>
    </w:p>
    <w:p w14:paraId="7F856CEF" w14:textId="77777777" w:rsidR="00261006" w:rsidRDefault="00261006" w:rsidP="00261006">
      <w:pPr>
        <w:tabs>
          <w:tab w:val="left" w:pos="993"/>
        </w:tabs>
        <w:spacing w:line="276" w:lineRule="auto"/>
        <w:jc w:val="both"/>
        <w:rPr>
          <w:rFonts w:eastAsia="Calibri"/>
        </w:rPr>
      </w:pPr>
      <w:r>
        <w:rPr>
          <w:rFonts w:eastAsia="Calibri"/>
        </w:rPr>
        <w:t xml:space="preserve">            </w:t>
      </w:r>
      <w:r w:rsidRPr="005E02DA">
        <w:rPr>
          <w:rFonts w:eastAsia="Calibri"/>
        </w:rPr>
        <w:t xml:space="preserve">Възложителят може по всяко време да изисква от участниците документите, чрез които се доказва посочената в ЕЕДОП информация по отношение на критериите за подбор, съгласно чл. 67, ал. 5 от ЗОП, когато това е необходимо за законосъобразното провеждане на процедурата. </w:t>
      </w:r>
    </w:p>
    <w:p w14:paraId="3CB10157" w14:textId="5B0D5BD0" w:rsidR="004360DD" w:rsidRPr="00EB7BF2" w:rsidRDefault="00261006" w:rsidP="00EB7BF2">
      <w:pPr>
        <w:spacing w:line="276" w:lineRule="auto"/>
        <w:ind w:firstLine="708"/>
        <w:jc w:val="both"/>
      </w:pPr>
      <w:r>
        <w:t>Участникът, определен за изпълнител на поръчката, следва да представи на възложителя, преди сключване на договора, заверено копие</w:t>
      </w:r>
      <w:r w:rsidR="00DC7A8A">
        <w:t xml:space="preserve"> </w:t>
      </w:r>
      <w:bookmarkStart w:id="0" w:name="_GoBack"/>
      <w:bookmarkEnd w:id="0"/>
      <w:r w:rsidR="00DC7A8A" w:rsidRPr="00DC7A8A">
        <w:t>„вярно с оригинала“</w:t>
      </w:r>
      <w:r>
        <w:t xml:space="preserve"> на посоченото валидно удостоверение, чрез което се доказва съответствието му с поставените от възложителя изисквания за годност за упражняване на професионална дейност, съгласно чл. 67, ал. 6 във връзка с чл.60 от ЗОП.</w:t>
      </w:r>
    </w:p>
    <w:p w14:paraId="6D8D2B76" w14:textId="77777777" w:rsidR="004360DD" w:rsidRDefault="004360DD" w:rsidP="00E01B28">
      <w:pPr>
        <w:spacing w:line="276" w:lineRule="auto"/>
        <w:jc w:val="both"/>
        <w:rPr>
          <w:b/>
        </w:rPr>
      </w:pPr>
    </w:p>
    <w:p w14:paraId="5BC94B4C" w14:textId="77777777" w:rsidR="00E01B28" w:rsidRPr="005E02DA" w:rsidRDefault="00E01B28" w:rsidP="00E01B28">
      <w:pPr>
        <w:spacing w:line="276" w:lineRule="auto"/>
        <w:jc w:val="both"/>
        <w:rPr>
          <w:b/>
        </w:rPr>
      </w:pPr>
      <w:r w:rsidRPr="005E02DA">
        <w:rPr>
          <w:b/>
        </w:rPr>
        <w:t xml:space="preserve"> </w:t>
      </w:r>
      <w:r w:rsidR="00261006">
        <w:rPr>
          <w:b/>
        </w:rPr>
        <w:tab/>
        <w:t>1.2. Изисквания за т</w:t>
      </w:r>
      <w:r w:rsidRPr="005E02DA">
        <w:rPr>
          <w:b/>
        </w:rPr>
        <w:t>ехнически и професионални способности</w:t>
      </w:r>
      <w:r w:rsidR="00261006">
        <w:rPr>
          <w:b/>
        </w:rPr>
        <w:t>, съгласно чл. 63 от ЗОП</w:t>
      </w:r>
    </w:p>
    <w:p w14:paraId="545A7F25" w14:textId="68F1A58D" w:rsidR="00E01B28" w:rsidRDefault="00E01B28" w:rsidP="00DE248A">
      <w:pPr>
        <w:spacing w:line="276" w:lineRule="auto"/>
        <w:ind w:firstLine="708"/>
        <w:jc w:val="both"/>
      </w:pPr>
      <w:r w:rsidRPr="00113C53">
        <w:t>Участниц</w:t>
      </w:r>
      <w:r w:rsidR="006D7ADD">
        <w:t>ите следва да притежават опит за</w:t>
      </w:r>
      <w:r w:rsidRPr="00113C53">
        <w:t xml:space="preserve"> </w:t>
      </w:r>
      <w:r w:rsidR="00054AEB">
        <w:t>сервизна абонаментна поддръжка и извършване</w:t>
      </w:r>
      <w:r w:rsidR="006D7ADD">
        <w:t xml:space="preserve"> при необходимост</w:t>
      </w:r>
      <w:r w:rsidR="00054AEB">
        <w:t xml:space="preserve"> на ремонтни дейности, включително доставка на резервни части </w:t>
      </w:r>
      <w:r w:rsidRPr="00113C53">
        <w:t>на</w:t>
      </w:r>
      <w:r w:rsidR="00113C53" w:rsidRPr="00113C53">
        <w:t xml:space="preserve"> асансьор</w:t>
      </w:r>
      <w:r w:rsidR="00054AEB">
        <w:t>н</w:t>
      </w:r>
      <w:r w:rsidR="00113C53" w:rsidRPr="00113C53">
        <w:t>и</w:t>
      </w:r>
      <w:r w:rsidR="00054AEB">
        <w:t xml:space="preserve"> уредби и съоръжения</w:t>
      </w:r>
      <w:r w:rsidRPr="00113C53">
        <w:t>.</w:t>
      </w:r>
    </w:p>
    <w:p w14:paraId="2ECC94CB" w14:textId="1966E768" w:rsidR="00113C53" w:rsidRPr="00330BA9" w:rsidRDefault="00113C53" w:rsidP="00113C53">
      <w:pPr>
        <w:spacing w:line="276" w:lineRule="auto"/>
        <w:ind w:firstLine="720"/>
        <w:jc w:val="both"/>
      </w:pPr>
      <w:r w:rsidRPr="006D3E00">
        <w:t>Участ</w:t>
      </w:r>
      <w:r w:rsidR="009D6AAC">
        <w:t>ници</w:t>
      </w:r>
      <w:r w:rsidR="007B7ABA">
        <w:t>те трябва да имат изпълнена минимум</w:t>
      </w:r>
      <w:r w:rsidR="009D6AAC">
        <w:t xml:space="preserve"> 1 бр.</w:t>
      </w:r>
      <w:r w:rsidRPr="006D3E00">
        <w:t xml:space="preserve"> </w:t>
      </w:r>
      <w:r w:rsidR="00543A2B">
        <w:t>дейност</w:t>
      </w:r>
      <w:r w:rsidR="009D6AAC">
        <w:t>,</w:t>
      </w:r>
      <w:r w:rsidR="009D6AAC">
        <w:rPr>
          <w:lang w:val="en"/>
        </w:rPr>
        <w:t xml:space="preserve"> </w:t>
      </w:r>
      <w:proofErr w:type="spellStart"/>
      <w:r w:rsidR="009D6AAC">
        <w:rPr>
          <w:lang w:val="en"/>
        </w:rPr>
        <w:t>идентична</w:t>
      </w:r>
      <w:proofErr w:type="spellEnd"/>
      <w:r w:rsidR="009D6AAC">
        <w:rPr>
          <w:lang w:val="en"/>
        </w:rPr>
        <w:t xml:space="preserve"> </w:t>
      </w:r>
      <w:proofErr w:type="spellStart"/>
      <w:r w:rsidR="009D6AAC">
        <w:rPr>
          <w:lang w:val="en"/>
        </w:rPr>
        <w:t>или</w:t>
      </w:r>
      <w:proofErr w:type="spellEnd"/>
      <w:r w:rsidR="009D6AAC">
        <w:rPr>
          <w:lang w:val="en"/>
        </w:rPr>
        <w:t xml:space="preserve"> </w:t>
      </w:r>
      <w:proofErr w:type="spellStart"/>
      <w:r w:rsidR="009D6AAC">
        <w:rPr>
          <w:lang w:val="en"/>
        </w:rPr>
        <w:t>сходна</w:t>
      </w:r>
      <w:proofErr w:type="spellEnd"/>
      <w:r w:rsidR="006A5D15">
        <w:t>*</w:t>
      </w:r>
      <w:r w:rsidRPr="00330BA9">
        <w:rPr>
          <w:lang w:val="en"/>
        </w:rPr>
        <w:t xml:space="preserve"> с</w:t>
      </w:r>
      <w:r w:rsidRPr="00330BA9">
        <w:rPr>
          <w:rFonts w:eastAsia="Calibri"/>
        </w:rPr>
        <w:t xml:space="preserve"> предмета и обема на поръчката за конкретната обособена позиция,</w:t>
      </w:r>
      <w:r w:rsidRPr="00330BA9">
        <w:rPr>
          <w:lang w:val="en"/>
        </w:rPr>
        <w:t xml:space="preserve"> </w:t>
      </w:r>
      <w:r w:rsidR="007B7ABA">
        <w:rPr>
          <w:rFonts w:eastAsia="Calibri"/>
        </w:rPr>
        <w:t xml:space="preserve">изпълнена </w:t>
      </w:r>
      <w:r w:rsidRPr="00330BA9">
        <w:rPr>
          <w:rFonts w:eastAsia="Calibri"/>
        </w:rPr>
        <w:t>през последните 3 (три) години, считано от датата на подаване на офертата</w:t>
      </w:r>
      <w:r w:rsidR="007B7ABA">
        <w:rPr>
          <w:rFonts w:eastAsia="Calibri"/>
        </w:rPr>
        <w:t>, заедно с доказателство за извършената услуга</w:t>
      </w:r>
      <w:r w:rsidR="00C1343D" w:rsidRPr="00330BA9">
        <w:rPr>
          <w:rFonts w:eastAsia="Calibri"/>
        </w:rPr>
        <w:t>.</w:t>
      </w:r>
    </w:p>
    <w:p w14:paraId="79750E3A" w14:textId="77263C80" w:rsidR="00E01B28" w:rsidRPr="005E02DA" w:rsidRDefault="006A5D15" w:rsidP="005D0233">
      <w:pPr>
        <w:pStyle w:val="BodyText"/>
        <w:spacing w:after="0" w:line="276" w:lineRule="auto"/>
        <w:ind w:firstLine="708"/>
        <w:jc w:val="both"/>
        <w:rPr>
          <w:i/>
        </w:rPr>
      </w:pPr>
      <w:r>
        <w:rPr>
          <w:i/>
        </w:rPr>
        <w:t>*Сходна по предмет и обем</w:t>
      </w:r>
      <w:r w:rsidRPr="006A5D15">
        <w:rPr>
          <w:i/>
        </w:rPr>
        <w:t xml:space="preserve"> </w:t>
      </w:r>
      <w:r>
        <w:rPr>
          <w:i/>
        </w:rPr>
        <w:t>услуга е</w:t>
      </w:r>
      <w:r w:rsidRPr="006A5D15">
        <w:rPr>
          <w:i/>
        </w:rPr>
        <w:t xml:space="preserve"> гаранционна</w:t>
      </w:r>
      <w:r>
        <w:rPr>
          <w:i/>
        </w:rPr>
        <w:t>та</w:t>
      </w:r>
      <w:r w:rsidRPr="006A5D15">
        <w:rPr>
          <w:i/>
        </w:rPr>
        <w:t xml:space="preserve"> поддръжка на</w:t>
      </w:r>
      <w:r>
        <w:rPr>
          <w:i/>
        </w:rPr>
        <w:t xml:space="preserve"> асансьорни уредби и съоръжения</w:t>
      </w:r>
      <w:r w:rsidRPr="006A5D15">
        <w:rPr>
          <w:i/>
        </w:rPr>
        <w:t xml:space="preserve"> в </w:t>
      </w:r>
      <w:r>
        <w:rPr>
          <w:i/>
        </w:rPr>
        <w:t>обем не по-малък от посочения</w:t>
      </w:r>
      <w:r w:rsidRPr="006A5D15">
        <w:rPr>
          <w:i/>
        </w:rPr>
        <w:t xml:space="preserve"> в техническа спецификация Приложение №1</w:t>
      </w:r>
      <w:r>
        <w:rPr>
          <w:i/>
        </w:rPr>
        <w:t>.1- 1.5</w:t>
      </w:r>
      <w:r w:rsidR="00C62AA3">
        <w:rPr>
          <w:i/>
        </w:rPr>
        <w:t>, в зависимост от обособената позиция, за която се подава оферта</w:t>
      </w:r>
      <w:r w:rsidRPr="006A5D15">
        <w:rPr>
          <w:i/>
        </w:rPr>
        <w:t>.</w:t>
      </w:r>
    </w:p>
    <w:p w14:paraId="2EEE5CBB" w14:textId="77777777" w:rsidR="006A5D15" w:rsidRDefault="006A5D15" w:rsidP="00E01B28">
      <w:pPr>
        <w:spacing w:line="276" w:lineRule="auto"/>
        <w:ind w:firstLine="708"/>
        <w:jc w:val="both"/>
        <w:rPr>
          <w:bCs/>
        </w:rPr>
      </w:pPr>
    </w:p>
    <w:p w14:paraId="3E544DC2" w14:textId="3A62B7DC" w:rsidR="00C62AA3" w:rsidRPr="005E02DA" w:rsidRDefault="00E01B28" w:rsidP="00C62AA3">
      <w:pPr>
        <w:spacing w:line="276" w:lineRule="auto"/>
        <w:ind w:firstLine="708"/>
        <w:jc w:val="both"/>
        <w:rPr>
          <w:bCs/>
        </w:rPr>
      </w:pPr>
      <w:r w:rsidRPr="005E02DA">
        <w:rPr>
          <w:bCs/>
        </w:rPr>
        <w:t xml:space="preserve">За доказване на наличието на опит за изпълнение на поръчката, </w:t>
      </w:r>
      <w:r w:rsidRPr="005E02DA">
        <w:rPr>
          <w:bCs/>
          <w:u w:val="single"/>
        </w:rPr>
        <w:t xml:space="preserve">в част </w:t>
      </w:r>
      <w:r w:rsidRPr="005E02DA">
        <w:rPr>
          <w:bCs/>
          <w:u w:val="single"/>
          <w:lang w:val="en-US"/>
        </w:rPr>
        <w:t>IV</w:t>
      </w:r>
      <w:r w:rsidRPr="005E02DA">
        <w:rPr>
          <w:bCs/>
          <w:u w:val="single"/>
        </w:rPr>
        <w:t>, раздел В: ,,Технически и професионални способности“, т. 1б от ЕЕДОП</w:t>
      </w:r>
      <w:r w:rsidRPr="005E02DA">
        <w:rPr>
          <w:bCs/>
        </w:rPr>
        <w:t xml:space="preserve"> участниците следва да </w:t>
      </w:r>
      <w:r w:rsidRPr="005E02DA">
        <w:rPr>
          <w:b/>
          <w:bCs/>
        </w:rPr>
        <w:t>посочат списък</w:t>
      </w:r>
      <w:r w:rsidRPr="005E02DA">
        <w:rPr>
          <w:bCs/>
        </w:rPr>
        <w:t xml:space="preserve"> на </w:t>
      </w:r>
      <w:r w:rsidRPr="005E02DA">
        <w:rPr>
          <w:b/>
          <w:bCs/>
        </w:rPr>
        <w:t>услуга/и, изпълнена/и през последните 3 (три) години о</w:t>
      </w:r>
      <w:r w:rsidR="00376E84">
        <w:rPr>
          <w:b/>
          <w:bCs/>
        </w:rPr>
        <w:t>т</w:t>
      </w:r>
      <w:r w:rsidRPr="005E02DA">
        <w:rPr>
          <w:b/>
          <w:bCs/>
        </w:rPr>
        <w:t xml:space="preserve"> датата на подаване на офертата</w:t>
      </w:r>
      <w:r w:rsidRPr="005E02DA">
        <w:rPr>
          <w:bCs/>
        </w:rPr>
        <w:t xml:space="preserve">, с предмет </w:t>
      </w:r>
      <w:r w:rsidRPr="005E02DA">
        <w:t>идентичен или сходен с този на настоящата поръчка за конкретната обособена позиция</w:t>
      </w:r>
      <w:r w:rsidRPr="002A2B48">
        <w:t xml:space="preserve">, чийто обем се изразява в изпълнението на дейност/и </w:t>
      </w:r>
      <w:r w:rsidR="001429E4">
        <w:t xml:space="preserve">по сервизна абонаментна </w:t>
      </w:r>
      <w:r w:rsidRPr="002A2B48">
        <w:t>поддръжка</w:t>
      </w:r>
      <w:r w:rsidR="001429E4">
        <w:t xml:space="preserve"> и извършване при необходимост на ремонтни дейности, включително доставка на резервни части </w:t>
      </w:r>
      <w:r w:rsidRPr="002A2B48">
        <w:t xml:space="preserve">на </w:t>
      </w:r>
      <w:r w:rsidR="002A2B48" w:rsidRPr="002A2B48">
        <w:t>съответния брой асансьор</w:t>
      </w:r>
      <w:r w:rsidR="001F2747">
        <w:t>н</w:t>
      </w:r>
      <w:r w:rsidR="002A2B48" w:rsidRPr="002A2B48">
        <w:t>и</w:t>
      </w:r>
      <w:r w:rsidR="001F2747">
        <w:t xml:space="preserve"> уредби</w:t>
      </w:r>
      <w:r w:rsidR="002A2B48" w:rsidRPr="002A2B48">
        <w:t xml:space="preserve"> </w:t>
      </w:r>
      <w:r w:rsidR="00783308">
        <w:t xml:space="preserve">и съоръжения </w:t>
      </w:r>
      <w:r w:rsidR="002A2B48" w:rsidRPr="002A2B48">
        <w:t xml:space="preserve">за </w:t>
      </w:r>
      <w:r w:rsidR="002A2B48" w:rsidRPr="002A2B48">
        <w:rPr>
          <w:rFonts w:eastAsia="Calibri"/>
        </w:rPr>
        <w:t>конкретна</w:t>
      </w:r>
      <w:r w:rsidR="002A2B48">
        <w:rPr>
          <w:rFonts w:eastAsia="Calibri"/>
        </w:rPr>
        <w:t>та</w:t>
      </w:r>
      <w:r w:rsidR="002A2B48" w:rsidRPr="002A2B48">
        <w:rPr>
          <w:rFonts w:eastAsia="Calibri"/>
        </w:rPr>
        <w:t xml:space="preserve"> обособена позиция</w:t>
      </w:r>
      <w:r w:rsidR="00A85036">
        <w:rPr>
          <w:rFonts w:eastAsia="Calibri"/>
        </w:rPr>
        <w:t>.</w:t>
      </w:r>
      <w:r w:rsidRPr="005E02DA">
        <w:t xml:space="preserve"> </w:t>
      </w:r>
      <w:r w:rsidRPr="005E02DA">
        <w:rPr>
          <w:bCs/>
        </w:rPr>
        <w:t xml:space="preserve">Списъкът следва </w:t>
      </w:r>
      <w:r w:rsidRPr="005E02DA">
        <w:rPr>
          <w:bCs/>
        </w:rPr>
        <w:lastRenderedPageBreak/>
        <w:t>съдържа</w:t>
      </w:r>
      <w:r w:rsidR="00C62AA3">
        <w:rPr>
          <w:bCs/>
        </w:rPr>
        <w:t xml:space="preserve"> следната информация</w:t>
      </w:r>
      <w:r w:rsidRPr="005E02DA">
        <w:rPr>
          <w:bCs/>
        </w:rPr>
        <w:t xml:space="preserve">: </w:t>
      </w:r>
      <w:r w:rsidRPr="005E02DA">
        <w:rPr>
          <w:b/>
          <w:bCs/>
        </w:rPr>
        <w:t>описание</w:t>
      </w:r>
      <w:r w:rsidRPr="005E02DA">
        <w:rPr>
          <w:bCs/>
        </w:rPr>
        <w:t xml:space="preserve"> на обхвата на дейностите </w:t>
      </w:r>
      <w:r w:rsidRPr="005E02DA">
        <w:rPr>
          <w:b/>
          <w:bCs/>
        </w:rPr>
        <w:t>(вид на извършените услуги),</w:t>
      </w:r>
      <w:r w:rsidRPr="005E02DA">
        <w:rPr>
          <w:bCs/>
        </w:rPr>
        <w:t xml:space="preserve"> </w:t>
      </w:r>
      <w:r w:rsidRPr="005E02DA">
        <w:rPr>
          <w:b/>
          <w:bCs/>
        </w:rPr>
        <w:t>суми (изплатено възнаграждение),</w:t>
      </w:r>
      <w:r w:rsidRPr="005E02DA">
        <w:rPr>
          <w:bCs/>
        </w:rPr>
        <w:t xml:space="preserve"> </w:t>
      </w:r>
      <w:r w:rsidRPr="005E02DA">
        <w:rPr>
          <w:b/>
          <w:bCs/>
        </w:rPr>
        <w:t>дати (начална и крайна дата на изпълнението)</w:t>
      </w:r>
      <w:r w:rsidRPr="005E02DA">
        <w:rPr>
          <w:bCs/>
        </w:rPr>
        <w:t xml:space="preserve"> и </w:t>
      </w:r>
      <w:r w:rsidRPr="005E02DA">
        <w:rPr>
          <w:b/>
          <w:bCs/>
        </w:rPr>
        <w:t>получателите</w:t>
      </w:r>
      <w:r w:rsidRPr="005E02DA">
        <w:rPr>
          <w:bCs/>
        </w:rPr>
        <w:t>, независимо дали са публични или частни субекти)</w:t>
      </w:r>
      <w:r w:rsidR="00C62AA3">
        <w:rPr>
          <w:bCs/>
        </w:rPr>
        <w:t>,</w:t>
      </w:r>
      <w:r w:rsidR="00C62AA3" w:rsidRPr="00C62AA3">
        <w:rPr>
          <w:rFonts w:eastAsia="Calibri"/>
        </w:rPr>
        <w:t xml:space="preserve"> </w:t>
      </w:r>
      <w:r w:rsidR="00C62AA3">
        <w:rPr>
          <w:rFonts w:eastAsia="Calibri"/>
        </w:rPr>
        <w:t>заедно с доказателство за извършената услуга.</w:t>
      </w:r>
    </w:p>
    <w:p w14:paraId="1AAFC926" w14:textId="0FDCCF07" w:rsidR="00E01B28" w:rsidRPr="005E02DA" w:rsidRDefault="00E01B28" w:rsidP="00E01B28">
      <w:pPr>
        <w:spacing w:line="276" w:lineRule="auto"/>
        <w:ind w:firstLine="708"/>
        <w:jc w:val="both"/>
        <w:rPr>
          <w:lang w:val="en-US"/>
        </w:rPr>
      </w:pPr>
    </w:p>
    <w:p w14:paraId="6011081A" w14:textId="77777777" w:rsidR="00E01B28" w:rsidRPr="005E02DA" w:rsidRDefault="00F71487" w:rsidP="00E01B28">
      <w:pPr>
        <w:tabs>
          <w:tab w:val="left" w:pos="993"/>
        </w:tabs>
        <w:spacing w:line="276" w:lineRule="auto"/>
        <w:jc w:val="both"/>
        <w:rPr>
          <w:rFonts w:eastAsia="Calibri"/>
        </w:rPr>
      </w:pPr>
      <w:r>
        <w:t xml:space="preserve">             </w:t>
      </w:r>
      <w:r w:rsidR="00E01B28" w:rsidRPr="005E02DA">
        <w:rPr>
          <w:rFonts w:eastAsia="Calibri"/>
        </w:rPr>
        <w:t xml:space="preserve">Възложителят може по всяко време да изисква от участниците документите, чрез които се доказва посочената в ЕЕДОП информация по отношение на критериите за подбор, съгласно чл. 67, ал. 5 от ЗОП, когато това е необходимо за законосъобразното провеждане на процедурата. </w:t>
      </w:r>
    </w:p>
    <w:p w14:paraId="0870A50A" w14:textId="09E48CF0" w:rsidR="00F71487" w:rsidRPr="005E02DA" w:rsidRDefault="00F71487" w:rsidP="00E01B28">
      <w:pPr>
        <w:tabs>
          <w:tab w:val="left" w:pos="851"/>
        </w:tabs>
        <w:spacing w:line="276" w:lineRule="auto"/>
        <w:jc w:val="both"/>
        <w:rPr>
          <w:rFonts w:eastAsia="Calibri"/>
        </w:rPr>
      </w:pPr>
      <w:r>
        <w:rPr>
          <w:rFonts w:eastAsia="Calibri"/>
        </w:rPr>
        <w:t xml:space="preserve">             </w:t>
      </w:r>
      <w:r w:rsidR="00E01B28" w:rsidRPr="005E02DA">
        <w:rPr>
          <w:rFonts w:eastAsia="Calibri"/>
        </w:rPr>
        <w:t>Участникът, определен за изпълнител, представя преди сключване на договора документите, чрез които се доказва съответствието му с поставените от възложителя критерии за подбор, съгласно чл. 67, ал. 6 във връзка с чл. 6</w:t>
      </w:r>
      <w:r w:rsidR="009C2FAB">
        <w:rPr>
          <w:rFonts w:eastAsia="Calibri"/>
        </w:rPr>
        <w:t>4</w:t>
      </w:r>
      <w:r w:rsidR="00E01B28" w:rsidRPr="005E02DA">
        <w:rPr>
          <w:rFonts w:eastAsia="Calibri"/>
        </w:rPr>
        <w:t xml:space="preserve"> от ЗОП. </w:t>
      </w:r>
      <w:r>
        <w:rPr>
          <w:rFonts w:eastAsia="Calibri"/>
        </w:rPr>
        <w:t xml:space="preserve"> </w:t>
      </w:r>
    </w:p>
    <w:p w14:paraId="64783112" w14:textId="77777777" w:rsidR="00F71487" w:rsidRDefault="00F71487" w:rsidP="00E01B28">
      <w:pPr>
        <w:spacing w:line="276" w:lineRule="auto"/>
        <w:jc w:val="both"/>
        <w:rPr>
          <w:bCs/>
        </w:rPr>
      </w:pPr>
    </w:p>
    <w:p w14:paraId="7F4E1270" w14:textId="419BD7D7" w:rsidR="00F264F7" w:rsidRDefault="006923C1" w:rsidP="005D0233">
      <w:pPr>
        <w:tabs>
          <w:tab w:val="left" w:pos="709"/>
        </w:tabs>
        <w:spacing w:line="276" w:lineRule="auto"/>
        <w:jc w:val="both"/>
        <w:rPr>
          <w:rFonts w:eastAsia="Calibri"/>
        </w:rPr>
      </w:pPr>
      <w:r>
        <w:tab/>
      </w:r>
      <w:r w:rsidR="00E01B28" w:rsidRPr="005E02DA">
        <w:rPr>
          <w:rFonts w:eastAsia="Calibri"/>
        </w:rPr>
        <w:t xml:space="preserve"> </w:t>
      </w:r>
    </w:p>
    <w:p w14:paraId="71265F2D" w14:textId="77777777" w:rsidR="00E01B28" w:rsidRPr="005E02DA" w:rsidRDefault="006923C1" w:rsidP="004E6D4C">
      <w:pPr>
        <w:spacing w:line="276" w:lineRule="auto"/>
        <w:jc w:val="both"/>
        <w:rPr>
          <w:b/>
          <w:bCs/>
        </w:rPr>
      </w:pPr>
      <w:r>
        <w:rPr>
          <w:b/>
          <w:bCs/>
        </w:rPr>
        <w:t xml:space="preserve">     </w:t>
      </w:r>
      <w:r w:rsidR="004E6D4C">
        <w:rPr>
          <w:b/>
          <w:bCs/>
        </w:rPr>
        <w:t xml:space="preserve">     </w:t>
      </w:r>
      <w:r w:rsidR="00E01B28" w:rsidRPr="005E02DA">
        <w:rPr>
          <w:b/>
          <w:bCs/>
        </w:rPr>
        <w:t>Документи, с които се доказва изпълнението на критериите за подбор:</w:t>
      </w:r>
    </w:p>
    <w:p w14:paraId="681E315D" w14:textId="77777777" w:rsidR="00E01B28" w:rsidRPr="005E02DA" w:rsidRDefault="006923C1" w:rsidP="006923C1">
      <w:pPr>
        <w:spacing w:line="276" w:lineRule="auto"/>
        <w:jc w:val="both"/>
        <w:rPr>
          <w:rFonts w:eastAsia="Calibri"/>
        </w:rPr>
      </w:pPr>
      <w:r>
        <w:rPr>
          <w:rFonts w:eastAsia="Calibri"/>
          <w:b/>
        </w:rPr>
        <w:t xml:space="preserve">          </w:t>
      </w:r>
      <w:r w:rsidR="00E01B28" w:rsidRPr="005E02DA">
        <w:rPr>
          <w:rFonts w:eastAsia="Calibri"/>
          <w:b/>
        </w:rPr>
        <w:t>Преди сключването на договор за обществената поръчка,</w:t>
      </w:r>
      <w:r w:rsidR="00E01B28" w:rsidRPr="005E02DA">
        <w:rPr>
          <w:rFonts w:eastAsia="Calibri"/>
        </w:rPr>
        <w:t xml:space="preserve"> </w:t>
      </w:r>
      <w:r w:rsidR="00E017D6" w:rsidRPr="00E017D6">
        <w:rPr>
          <w:rFonts w:eastAsia="Calibri"/>
          <w:b/>
        </w:rPr>
        <w:t>в</w:t>
      </w:r>
      <w:r w:rsidR="00E01B28" w:rsidRPr="00E017D6">
        <w:rPr>
          <w:rFonts w:eastAsia="Calibri"/>
          <w:b/>
        </w:rPr>
        <w:t>ъ</w:t>
      </w:r>
      <w:r w:rsidR="00E01B28" w:rsidRPr="005E02DA">
        <w:rPr>
          <w:rFonts w:eastAsia="Calibri"/>
          <w:b/>
        </w:rPr>
        <w:t xml:space="preserve">зложителят изисква от участника, определен за изпълнител </w:t>
      </w:r>
      <w:r w:rsidR="00E01B28" w:rsidRPr="005E02DA">
        <w:rPr>
          <w:rFonts w:eastAsia="Calibri"/>
        </w:rPr>
        <w:t xml:space="preserve">по конкретната обособена позиция,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съответно: </w:t>
      </w:r>
    </w:p>
    <w:p w14:paraId="76E5330A" w14:textId="12B43D82" w:rsidR="00A505FA" w:rsidRDefault="006923C1" w:rsidP="006923C1">
      <w:pPr>
        <w:spacing w:line="276" w:lineRule="auto"/>
        <w:jc w:val="both"/>
      </w:pPr>
      <w:r>
        <w:rPr>
          <w:rFonts w:eastAsia="Calibri"/>
        </w:rPr>
        <w:t xml:space="preserve">          </w:t>
      </w:r>
      <w:r w:rsidR="00E01B28" w:rsidRPr="005E02DA">
        <w:rPr>
          <w:rFonts w:eastAsia="Calibri"/>
        </w:rPr>
        <w:t>По т. 1</w:t>
      </w:r>
      <w:r w:rsidR="00E017D6">
        <w:rPr>
          <w:rFonts w:eastAsia="Calibri"/>
        </w:rPr>
        <w:t>.1.</w:t>
      </w:r>
      <w:r w:rsidR="00E01B28" w:rsidRPr="005E02DA">
        <w:rPr>
          <w:rFonts w:eastAsia="Calibri"/>
        </w:rPr>
        <w:t xml:space="preserve"> </w:t>
      </w:r>
      <w:r w:rsidR="00E017D6">
        <w:rPr>
          <w:rFonts w:eastAsia="Calibri"/>
        </w:rPr>
        <w:t xml:space="preserve">- </w:t>
      </w:r>
      <w:r w:rsidR="00E017D6">
        <w:t>заверено копие</w:t>
      </w:r>
      <w:r w:rsidR="00862747">
        <w:t xml:space="preserve"> „вярно с оригинала“</w:t>
      </w:r>
      <w:r w:rsidR="00E017D6">
        <w:t xml:space="preserve"> на посоченото валидно удостоверение, чрез което се доказва съответствието му с поставените от възложителя изисквания за годност за упражняване на професионална дейност, съгласно чл. 67, ал. 6 във връзка с чл.</w:t>
      </w:r>
      <w:r w:rsidR="00244A83">
        <w:t xml:space="preserve"> </w:t>
      </w:r>
      <w:r w:rsidR="00E017D6">
        <w:t>60 от ЗОП.</w:t>
      </w:r>
    </w:p>
    <w:p w14:paraId="09C7A512" w14:textId="639C4AE4" w:rsidR="00E01B28" w:rsidRPr="005D0233" w:rsidRDefault="00E017D6" w:rsidP="005D0233">
      <w:pPr>
        <w:spacing w:line="276" w:lineRule="auto"/>
        <w:ind w:firstLine="708"/>
        <w:jc w:val="both"/>
        <w:rPr>
          <w:rFonts w:eastAsia="Times New Roman"/>
          <w:b/>
          <w:bCs/>
          <w:iCs/>
          <w:snapToGrid w:val="0"/>
        </w:rPr>
      </w:pPr>
      <w:r w:rsidRPr="00E017D6">
        <w:t xml:space="preserve">По </w:t>
      </w:r>
      <w:r>
        <w:t xml:space="preserve">т. </w:t>
      </w:r>
      <w:r w:rsidRPr="00E017D6">
        <w:t>1.2.</w:t>
      </w:r>
      <w:r w:rsidRPr="00A505FA">
        <w:rPr>
          <w:rFonts w:eastAsia="Calibri"/>
        </w:rPr>
        <w:t xml:space="preserve"> </w:t>
      </w:r>
      <w:r w:rsidR="00ED0426" w:rsidRPr="00A505FA">
        <w:rPr>
          <w:rFonts w:eastAsia="Calibri"/>
        </w:rPr>
        <w:t>–</w:t>
      </w:r>
      <w:r w:rsidR="00E01B28" w:rsidRPr="00A505FA">
        <w:rPr>
          <w:rFonts w:eastAsia="Calibri"/>
        </w:rPr>
        <w:t xml:space="preserve"> </w:t>
      </w:r>
      <w:r w:rsidR="00A505FA" w:rsidRPr="00E53559">
        <w:t xml:space="preserve">Подписан и подпечатан списък на </w:t>
      </w:r>
      <w:r w:rsidR="00A505FA">
        <w:t>услугите</w:t>
      </w:r>
      <w:r w:rsidR="00A505FA" w:rsidRPr="00E53559">
        <w:t>, които са идентични или сходни с предмета на обществената поръчка в зависимост от обособената позиция, с посочване на стойностите, датите и получателите, заедно с доказателство за извършените доставки</w:t>
      </w:r>
      <w:r w:rsidR="00244A83">
        <w:rPr>
          <w:rFonts w:eastAsia="Calibri"/>
        </w:rPr>
        <w:t xml:space="preserve">, съгласно  </w:t>
      </w:r>
      <w:r w:rsidR="00244A83">
        <w:t xml:space="preserve">чл. 67, ал. 6 във връзка с </w:t>
      </w:r>
      <w:r w:rsidR="00B07C8A">
        <w:t>чл. 64, ал.1, т.2 от ЗОП.</w:t>
      </w:r>
    </w:p>
    <w:p w14:paraId="691E264F" w14:textId="478256B9" w:rsidR="00E01B28" w:rsidRPr="005E02DA" w:rsidRDefault="00BA2E6E" w:rsidP="00E01B28">
      <w:pPr>
        <w:tabs>
          <w:tab w:val="num" w:pos="-1985"/>
        </w:tabs>
        <w:spacing w:line="276" w:lineRule="auto"/>
        <w:ind w:firstLine="720"/>
        <w:jc w:val="both"/>
      </w:pPr>
      <w:r>
        <w:t>Критериите за подбор</w:t>
      </w:r>
      <w:r w:rsidR="00E01B28" w:rsidRPr="005E02DA">
        <w:rPr>
          <w:lang w:val="en-AU"/>
        </w:rPr>
        <w:t xml:space="preserve"> и </w:t>
      </w:r>
      <w:r w:rsidR="00E01B28" w:rsidRPr="00BA2E6E">
        <w:t>документите за доказването им</w:t>
      </w:r>
      <w:r w:rsidR="00E01B28" w:rsidRPr="005E02DA">
        <w:rPr>
          <w:lang w:val="en-AU"/>
        </w:rPr>
        <w:t xml:space="preserve"> </w:t>
      </w:r>
      <w:proofErr w:type="spellStart"/>
      <w:r w:rsidR="00E01B28" w:rsidRPr="005E02DA">
        <w:rPr>
          <w:lang w:val="en-AU"/>
        </w:rPr>
        <w:t>са</w:t>
      </w:r>
      <w:proofErr w:type="spellEnd"/>
      <w:r w:rsidR="00E01B28" w:rsidRPr="005E02DA">
        <w:rPr>
          <w:lang w:val="en-AU"/>
        </w:rPr>
        <w:t xml:space="preserve"> </w:t>
      </w:r>
      <w:proofErr w:type="spellStart"/>
      <w:r w:rsidR="00E01B28" w:rsidRPr="005E02DA">
        <w:rPr>
          <w:lang w:val="en-AU"/>
        </w:rPr>
        <w:t>съобразени</w:t>
      </w:r>
      <w:proofErr w:type="spellEnd"/>
      <w:r w:rsidR="00E01B28" w:rsidRPr="005E02DA">
        <w:rPr>
          <w:lang w:val="en-AU"/>
        </w:rPr>
        <w:t xml:space="preserve"> с </w:t>
      </w:r>
      <w:proofErr w:type="spellStart"/>
      <w:r w:rsidR="00E01B28" w:rsidRPr="005E02DA">
        <w:rPr>
          <w:lang w:val="en-AU"/>
        </w:rPr>
        <w:t>разпоредбите</w:t>
      </w:r>
      <w:proofErr w:type="spellEnd"/>
      <w:r w:rsidR="00E01B28" w:rsidRPr="005E02DA">
        <w:rPr>
          <w:lang w:val="en-AU"/>
        </w:rPr>
        <w:t xml:space="preserve"> </w:t>
      </w:r>
      <w:proofErr w:type="spellStart"/>
      <w:r w:rsidR="00E01B28" w:rsidRPr="005E02DA">
        <w:rPr>
          <w:lang w:val="en-AU"/>
        </w:rPr>
        <w:t>на</w:t>
      </w:r>
      <w:proofErr w:type="spellEnd"/>
      <w:r w:rsidR="00E01B28" w:rsidRPr="005E02DA">
        <w:rPr>
          <w:lang w:val="en-AU"/>
        </w:rPr>
        <w:t xml:space="preserve"> </w:t>
      </w:r>
      <w:proofErr w:type="spellStart"/>
      <w:r w:rsidR="00E01B28" w:rsidRPr="005E02DA">
        <w:rPr>
          <w:lang w:val="en-AU"/>
        </w:rPr>
        <w:t>чл</w:t>
      </w:r>
      <w:proofErr w:type="spellEnd"/>
      <w:r w:rsidR="00E01B28" w:rsidRPr="005E02DA">
        <w:rPr>
          <w:lang w:val="en-AU"/>
        </w:rPr>
        <w:t>. 5</w:t>
      </w:r>
      <w:r w:rsidR="00E01B28" w:rsidRPr="005E02DA">
        <w:t>9, ал. 1, т.1 и т. 3 от ЗОП, на чл.</w:t>
      </w:r>
      <w:r w:rsidR="00981200">
        <w:t xml:space="preserve"> </w:t>
      </w:r>
      <w:r w:rsidR="00E01B28" w:rsidRPr="005E02DA">
        <w:t>60, ал.</w:t>
      </w:r>
      <w:r w:rsidR="00981200">
        <w:t>1</w:t>
      </w:r>
      <w:r w:rsidR="00E01B28" w:rsidRPr="005E02DA">
        <w:t xml:space="preserve"> от ЗОП,</w:t>
      </w:r>
      <w:r w:rsidR="00E01B28" w:rsidRPr="005E02DA">
        <w:rPr>
          <w:lang w:val="en-AU"/>
        </w:rPr>
        <w:t xml:space="preserve"> </w:t>
      </w:r>
      <w:r w:rsidR="00E01B28" w:rsidRPr="005E02DA">
        <w:t>на чл. 63, ал. 1, т. 1, буква „б“</w:t>
      </w:r>
      <w:r w:rsidR="00981200">
        <w:t xml:space="preserve"> и</w:t>
      </w:r>
      <w:r w:rsidR="00E01B28" w:rsidRPr="005E02DA">
        <w:t xml:space="preserve"> т. 5 </w:t>
      </w:r>
      <w:proofErr w:type="spellStart"/>
      <w:r w:rsidR="00E01B28" w:rsidRPr="005E02DA">
        <w:rPr>
          <w:lang w:val="en-AU"/>
        </w:rPr>
        <w:t>от</w:t>
      </w:r>
      <w:proofErr w:type="spellEnd"/>
      <w:r w:rsidR="00E01B28" w:rsidRPr="005E02DA">
        <w:rPr>
          <w:lang w:val="en-AU"/>
        </w:rPr>
        <w:t xml:space="preserve"> ЗОП</w:t>
      </w:r>
      <w:r w:rsidR="00E01B28" w:rsidRPr="005E02DA">
        <w:t xml:space="preserve"> и на чл. 64, ал. 1, т. 2</w:t>
      </w:r>
      <w:r w:rsidR="00981200">
        <w:t xml:space="preserve">  </w:t>
      </w:r>
      <w:r w:rsidR="00E01B28" w:rsidRPr="005E02DA">
        <w:t>от ЗОП.</w:t>
      </w:r>
    </w:p>
    <w:p w14:paraId="44B0941E" w14:textId="77777777" w:rsidR="00E01B28" w:rsidRPr="005E02DA" w:rsidRDefault="00353322" w:rsidP="00353322">
      <w:pPr>
        <w:tabs>
          <w:tab w:val="left" w:pos="851"/>
          <w:tab w:val="left" w:pos="993"/>
        </w:tabs>
        <w:spacing w:line="276" w:lineRule="auto"/>
        <w:jc w:val="both"/>
        <w:rPr>
          <w:rFonts w:eastAsia="Calibri"/>
        </w:rPr>
      </w:pPr>
      <w:r w:rsidRPr="005E02DA">
        <w:tab/>
      </w:r>
      <w:r w:rsidR="00E01B28" w:rsidRPr="005E02DA">
        <w:rPr>
          <w:rFonts w:eastAsia="Calibri"/>
        </w:rPr>
        <w:t>Възложителят може по всяко време да изисква от участниците документите, чрез коит</w:t>
      </w:r>
      <w:r w:rsidR="00B12637" w:rsidRPr="005E02DA">
        <w:rPr>
          <w:rFonts w:eastAsia="Calibri"/>
        </w:rPr>
        <w:t xml:space="preserve">о </w:t>
      </w:r>
      <w:r w:rsidR="00E01B28" w:rsidRPr="005E02DA">
        <w:rPr>
          <w:rFonts w:eastAsia="Calibri"/>
        </w:rPr>
        <w:t xml:space="preserve">се доказва посочената в ЕЕДОП информация по отношение на критериите за подбор, съгласно чл. 67, ал. 5 от ЗОП, когато това е необходимо за законосъобразното провеждане на процедурата. </w:t>
      </w:r>
    </w:p>
    <w:p w14:paraId="452F208F" w14:textId="77777777" w:rsidR="00E01B28" w:rsidRPr="005E02DA" w:rsidRDefault="00E01B28" w:rsidP="00E01B28">
      <w:pPr>
        <w:tabs>
          <w:tab w:val="left" w:pos="426"/>
        </w:tabs>
        <w:spacing w:line="276" w:lineRule="auto"/>
        <w:ind w:firstLine="709"/>
        <w:jc w:val="both"/>
      </w:pPr>
      <w:r w:rsidRPr="005E02DA">
        <w:t>При участници обединения, които не са юридически лица, съответствието с критериите за подбор се доказва от обединението-участник,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14:paraId="3C00E9BD" w14:textId="77777777" w:rsidR="00E01B28" w:rsidRPr="005E02DA" w:rsidRDefault="00E01B28" w:rsidP="00E01B28">
      <w:pPr>
        <w:tabs>
          <w:tab w:val="left" w:pos="426"/>
        </w:tabs>
        <w:spacing w:line="276" w:lineRule="auto"/>
        <w:ind w:firstLine="709"/>
        <w:jc w:val="both"/>
      </w:pPr>
      <w:r w:rsidRPr="005E02DA">
        <w:t xml:space="preserve">В случай, че участникът ще ползва подизпълнители, посочените критерии за подбор се прилагат за тях, съобразно вида и дела от предмета на поръчката, която те ще </w:t>
      </w:r>
      <w:r w:rsidRPr="005E02DA">
        <w:lastRenderedPageBreak/>
        <w:t>изпълняват.</w:t>
      </w:r>
    </w:p>
    <w:p w14:paraId="0A13BEB2" w14:textId="77777777" w:rsidR="00E01B28" w:rsidRPr="005E02DA" w:rsidRDefault="00E01B28" w:rsidP="00E01B28">
      <w:pPr>
        <w:tabs>
          <w:tab w:val="left" w:pos="426"/>
        </w:tabs>
        <w:spacing w:line="276" w:lineRule="auto"/>
        <w:ind w:firstLine="709"/>
        <w:jc w:val="both"/>
      </w:pPr>
      <w:r w:rsidRPr="005E02DA">
        <w:t>В случай, че участникът ще ползва капацитета на трети лица, посочените критерии за подбор се прилагат за третите лица, по отношение доказването на които критерии, участникът се позовава на капацитета на тези трети лица.</w:t>
      </w:r>
    </w:p>
    <w:p w14:paraId="32876DA2" w14:textId="77777777" w:rsidR="00E01B28" w:rsidRPr="005E02DA" w:rsidRDefault="00E01B28" w:rsidP="00E01B28">
      <w:pPr>
        <w:tabs>
          <w:tab w:val="left" w:pos="426"/>
        </w:tabs>
        <w:spacing w:line="276" w:lineRule="auto"/>
        <w:ind w:firstLine="709"/>
        <w:jc w:val="both"/>
      </w:pPr>
    </w:p>
    <w:p w14:paraId="30A647F4" w14:textId="77777777" w:rsidR="0074212F" w:rsidRDefault="00E01B28" w:rsidP="00E01B28">
      <w:pPr>
        <w:tabs>
          <w:tab w:val="left" w:pos="426"/>
        </w:tabs>
        <w:spacing w:line="276" w:lineRule="auto"/>
        <w:ind w:firstLine="709"/>
        <w:jc w:val="both"/>
      </w:pPr>
      <w:r w:rsidRPr="005E02DA">
        <w:rPr>
          <w:b/>
        </w:rPr>
        <w:t>2.</w:t>
      </w:r>
      <w:r w:rsidRPr="005E02DA">
        <w:t xml:space="preserve"> Възложителят отстранява от участие в процедурата участник</w:t>
      </w:r>
      <w:r w:rsidR="0074212F">
        <w:t>:</w:t>
      </w:r>
    </w:p>
    <w:p w14:paraId="650EDFA9" w14:textId="66F5E13B" w:rsidR="00E707FB" w:rsidRDefault="0074212F" w:rsidP="00E707FB">
      <w:pPr>
        <w:tabs>
          <w:tab w:val="left" w:pos="426"/>
        </w:tabs>
        <w:spacing w:line="276" w:lineRule="auto"/>
        <w:ind w:firstLine="709"/>
        <w:jc w:val="both"/>
      </w:pPr>
      <w:r>
        <w:t xml:space="preserve">2.1. </w:t>
      </w:r>
      <w:r w:rsidR="00E707FB">
        <w:t>за когото е налице някое от основанията, предвидени в чл. 54 от ЗОП, а именно:</w:t>
      </w:r>
    </w:p>
    <w:p w14:paraId="06A73A94" w14:textId="77777777" w:rsidR="00E707FB" w:rsidRDefault="00E707FB" w:rsidP="00E707FB">
      <w:pPr>
        <w:tabs>
          <w:tab w:val="left" w:pos="426"/>
        </w:tabs>
        <w:spacing w:line="276" w:lineRule="auto"/>
        <w:ind w:firstLine="709"/>
        <w:jc w:val="both"/>
      </w:pPr>
      <w:r>
        <w:t>2.1.1. който е осъден с влязла в сила присъда, освен ако е реабилитиран, за престъпление по чл. 108а, чл. 159а - 159г, чл. 172, чл. 192а, чл. 194 - 217, чл. 219 - 252, чл. 253 - 260, чл. 301 - 307, чл. 321, чл. 321а и чл. 352 - 353е от Наказателния кодекс;</w:t>
      </w:r>
    </w:p>
    <w:p w14:paraId="587EED9F" w14:textId="77777777" w:rsidR="00E707FB" w:rsidRDefault="00E707FB" w:rsidP="00E707FB">
      <w:pPr>
        <w:tabs>
          <w:tab w:val="left" w:pos="426"/>
        </w:tabs>
        <w:spacing w:line="276" w:lineRule="auto"/>
        <w:ind w:firstLine="709"/>
        <w:jc w:val="both"/>
      </w:pPr>
      <w:r>
        <w:t>Забележка: При подаване на оферта за участие, липсата/наличието на обстоятелствата по чл. 172 (престъпление против трудовите права на гражданите); чл. 194-208 и чл. 213а-217 (престъпления против собствеността - кражба, грабеж, присвоявания, изнудване, вещно укривателство, унищожаване и повреждане, злоупотреба на доверие); чл.219-252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митническия режим, престъпления против паричната и кредитна система); чл. 254а-260 (престъпления против финансовата, данъчната и осигурителната система) и чл. 352 – 353е (престъпления против народното здраве и против околната среда) от НК, се посочват от участника* чрез попълване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 изброят изчерпателно посочените основания (престъпления) за отстраняване и срещу всяко едно от тях да отбележат осъждани ли са чрез посочване на „НЕ“/“ДА“ в полето за отговор.</w:t>
      </w:r>
    </w:p>
    <w:p w14:paraId="186ECCE6" w14:textId="399B8DF3" w:rsidR="00E707FB" w:rsidRDefault="00E707FB" w:rsidP="00E707FB">
      <w:pPr>
        <w:tabs>
          <w:tab w:val="left" w:pos="426"/>
        </w:tabs>
        <w:spacing w:line="276" w:lineRule="auto"/>
        <w:ind w:firstLine="709"/>
        <w:jc w:val="both"/>
      </w:pPr>
      <w:r>
        <w:t>2.1.2. който е осъден с влязла в сила присъда, освен ако е реабилитиран за престъпление, аналогично на тези по т. 2.1.1., в друга държава членка или трета страна;</w:t>
      </w:r>
    </w:p>
    <w:p w14:paraId="6DB748C0" w14:textId="1FA174F4" w:rsidR="00E707FB" w:rsidRDefault="00E707FB" w:rsidP="00E707FB">
      <w:pPr>
        <w:tabs>
          <w:tab w:val="left" w:pos="426"/>
        </w:tabs>
        <w:spacing w:line="276" w:lineRule="auto"/>
        <w:ind w:firstLine="709"/>
        <w:jc w:val="both"/>
      </w:pPr>
      <w:r>
        <w:t>2.1.3. който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2B6EEC9B" w14:textId="101067AC" w:rsidR="00E707FB" w:rsidRDefault="00E707FB" w:rsidP="00E707FB">
      <w:pPr>
        <w:tabs>
          <w:tab w:val="left" w:pos="426"/>
        </w:tabs>
        <w:spacing w:line="276" w:lineRule="auto"/>
        <w:ind w:firstLine="709"/>
        <w:jc w:val="both"/>
      </w:pPr>
      <w:r>
        <w:t>Забележка: Когато участникът има задължения за данъци или осигурителни вноски, това е основание за отстраняване, когато размерът им надвишава 1 % от годишния общ оборот  на участника за предходната приключила финансова година.</w:t>
      </w:r>
    </w:p>
    <w:p w14:paraId="5977BDB7" w14:textId="6065D958" w:rsidR="00E707FB" w:rsidRDefault="00E707FB" w:rsidP="00E707FB">
      <w:pPr>
        <w:tabs>
          <w:tab w:val="left" w:pos="426"/>
        </w:tabs>
        <w:spacing w:line="276" w:lineRule="auto"/>
        <w:ind w:firstLine="709"/>
        <w:jc w:val="both"/>
      </w:pPr>
      <w:r>
        <w:t>2.1.4. за когото е налице неравнопоставеност в случаите по чл. 44, ал. 5 от ЗОП;</w:t>
      </w:r>
    </w:p>
    <w:p w14:paraId="61B5F34A" w14:textId="3E4FF716" w:rsidR="00E707FB" w:rsidRDefault="00E707FB" w:rsidP="00E707FB">
      <w:pPr>
        <w:tabs>
          <w:tab w:val="left" w:pos="426"/>
        </w:tabs>
        <w:spacing w:line="276" w:lineRule="auto"/>
        <w:ind w:firstLine="709"/>
        <w:jc w:val="both"/>
      </w:pPr>
      <w:r>
        <w:t>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C43479C" w14:textId="77777777" w:rsidR="00E707FB" w:rsidRDefault="00E707FB" w:rsidP="00E707FB">
      <w:pPr>
        <w:tabs>
          <w:tab w:val="left" w:pos="426"/>
        </w:tabs>
        <w:spacing w:line="276" w:lineRule="auto"/>
        <w:ind w:firstLine="709"/>
        <w:jc w:val="both"/>
      </w:pPr>
      <w:r>
        <w:lastRenderedPageBreak/>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C1EEA76" w14:textId="01CE8461" w:rsidR="00E707FB" w:rsidRDefault="00E707FB" w:rsidP="00E707FB">
      <w:pPr>
        <w:tabs>
          <w:tab w:val="left" w:pos="426"/>
        </w:tabs>
        <w:spacing w:line="276" w:lineRule="auto"/>
        <w:ind w:firstLine="709"/>
        <w:jc w:val="both"/>
      </w:pPr>
      <w:r>
        <w:t>2.1.7. за когото е налице конфликт на интереси*, който не може да бъде отстранен.</w:t>
      </w:r>
    </w:p>
    <w:p w14:paraId="291592F3" w14:textId="77777777" w:rsidR="00E707FB" w:rsidRDefault="00E707FB" w:rsidP="00E707FB">
      <w:pPr>
        <w:tabs>
          <w:tab w:val="left" w:pos="426"/>
        </w:tabs>
        <w:spacing w:line="276" w:lineRule="auto"/>
        <w:ind w:firstLine="709"/>
        <w:jc w:val="both"/>
      </w:pPr>
      <w:r>
        <w:tab/>
        <w:t>*по смисъла на §2, т. 21 от ДР на ЗОП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w:t>
      </w:r>
    </w:p>
    <w:p w14:paraId="3BB34533" w14:textId="6AB93EF3" w:rsidR="00E707FB" w:rsidRDefault="00E707FB" w:rsidP="00E707FB">
      <w:pPr>
        <w:tabs>
          <w:tab w:val="left" w:pos="426"/>
        </w:tabs>
        <w:spacing w:line="276" w:lineRule="auto"/>
        <w:ind w:firstLine="709"/>
        <w:jc w:val="both"/>
      </w:pPr>
      <w:r>
        <w:t>2.2. На основание чл. 55, ал. 1, т. 1 от ЗОП Възложителят отстранява от участие в процедурата участник, който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6817252C" w14:textId="5FB0D595" w:rsidR="00E707FB" w:rsidRPr="005E02DA" w:rsidRDefault="00E707FB" w:rsidP="00E707FB">
      <w:pPr>
        <w:tabs>
          <w:tab w:val="left" w:pos="426"/>
        </w:tabs>
        <w:spacing w:line="276" w:lineRule="auto"/>
        <w:ind w:firstLine="709"/>
        <w:jc w:val="both"/>
      </w:pPr>
      <w:r>
        <w:t>Забележка: Съгласно чл. 46, ал. 1 от ППЗОП, участниците са длъжни да уведомят възложителя за промени в обстоятелствата по т. 2.1 и т. 2.2. в срок до 3 (три) дни от настъпване на промяната.</w:t>
      </w:r>
    </w:p>
    <w:p w14:paraId="74E9B034" w14:textId="4AC525FF" w:rsidR="00E01B28" w:rsidRPr="005E02DA" w:rsidRDefault="00E01B28" w:rsidP="00AE22A0">
      <w:pPr>
        <w:tabs>
          <w:tab w:val="left" w:pos="284"/>
        </w:tabs>
        <w:spacing w:line="276" w:lineRule="auto"/>
        <w:ind w:hanging="142"/>
        <w:jc w:val="both"/>
        <w:textAlignment w:val="center"/>
      </w:pPr>
      <w:r w:rsidRPr="005E02DA">
        <w:rPr>
          <w:b/>
        </w:rPr>
        <w:t xml:space="preserve">   </w:t>
      </w:r>
      <w:r w:rsidR="00AE22A0">
        <w:rPr>
          <w:b/>
        </w:rPr>
        <w:tab/>
      </w:r>
      <w:r w:rsidR="00AE22A0">
        <w:rPr>
          <w:b/>
        </w:rPr>
        <w:tab/>
      </w:r>
      <w:r w:rsidRPr="005E02DA">
        <w:rPr>
          <w:b/>
        </w:rPr>
        <w:t>2.</w:t>
      </w:r>
      <w:r w:rsidR="0024416F">
        <w:rPr>
          <w:b/>
        </w:rPr>
        <w:t>3</w:t>
      </w:r>
      <w:r w:rsidRPr="005E02DA">
        <w:rPr>
          <w:b/>
        </w:rPr>
        <w:t>.</w:t>
      </w:r>
      <w:r w:rsidRPr="005E02DA">
        <w:t xml:space="preserve"> не отговаря на поставените критерии за подбор или не изпълни друго условие, посочено в обявлението за обществена поръчка или в документацията;</w:t>
      </w:r>
    </w:p>
    <w:p w14:paraId="4419AE94" w14:textId="6E6048E5" w:rsidR="00E01B28" w:rsidRPr="005E02DA" w:rsidRDefault="00AE22A0" w:rsidP="00AE22A0">
      <w:pPr>
        <w:tabs>
          <w:tab w:val="left" w:pos="284"/>
        </w:tabs>
        <w:spacing w:line="276" w:lineRule="auto"/>
        <w:ind w:hanging="142"/>
        <w:jc w:val="both"/>
        <w:textAlignment w:val="center"/>
      </w:pPr>
      <w:r>
        <w:rPr>
          <w:b/>
        </w:rPr>
        <w:t xml:space="preserve">  </w:t>
      </w:r>
      <w:r>
        <w:rPr>
          <w:b/>
        </w:rPr>
        <w:tab/>
      </w:r>
      <w:r>
        <w:rPr>
          <w:b/>
        </w:rPr>
        <w:tab/>
      </w:r>
      <w:r>
        <w:rPr>
          <w:b/>
        </w:rPr>
        <w:tab/>
      </w:r>
      <w:r w:rsidR="00B86C9C">
        <w:rPr>
          <w:b/>
        </w:rPr>
        <w:t>2.</w:t>
      </w:r>
      <w:r w:rsidR="0024416F">
        <w:rPr>
          <w:b/>
        </w:rPr>
        <w:t>4</w:t>
      </w:r>
      <w:r w:rsidR="00E01B28" w:rsidRPr="005E02DA">
        <w:t>. е представил оферта, която не отговаря на:</w:t>
      </w:r>
    </w:p>
    <w:p w14:paraId="284B4EFD" w14:textId="77777777" w:rsidR="00E01B28" w:rsidRPr="0072721C" w:rsidRDefault="00AE22A0" w:rsidP="0072721C">
      <w:pPr>
        <w:tabs>
          <w:tab w:val="left" w:pos="284"/>
        </w:tabs>
        <w:spacing w:line="276" w:lineRule="auto"/>
        <w:ind w:hanging="142"/>
        <w:jc w:val="both"/>
        <w:textAlignment w:val="center"/>
      </w:pPr>
      <w:r>
        <w:t xml:space="preserve">  </w:t>
      </w:r>
      <w:r>
        <w:tab/>
      </w:r>
      <w:r>
        <w:tab/>
      </w:r>
      <w:r>
        <w:tab/>
      </w:r>
      <w:r w:rsidR="00E01B28" w:rsidRPr="005E02DA">
        <w:t>а) предварително обявените условия на поръчката;</w:t>
      </w:r>
    </w:p>
    <w:p w14:paraId="6C2216F9" w14:textId="1D129B7B" w:rsidR="00E01B28" w:rsidRPr="006923C1" w:rsidRDefault="00E01B28" w:rsidP="00E01B28">
      <w:pPr>
        <w:spacing w:line="276" w:lineRule="auto"/>
        <w:ind w:firstLine="709"/>
        <w:jc w:val="both"/>
        <w:textAlignment w:val="center"/>
      </w:pPr>
      <w:r w:rsidRPr="005E02DA">
        <w:rPr>
          <w:b/>
        </w:rPr>
        <w:t>2.</w:t>
      </w:r>
      <w:r w:rsidR="0024416F">
        <w:rPr>
          <w:b/>
        </w:rPr>
        <w:t>5</w:t>
      </w:r>
      <w:r w:rsidR="00E707FB">
        <w:rPr>
          <w:b/>
        </w:rPr>
        <w:t>.</w:t>
      </w:r>
      <w:r w:rsidRPr="005E02DA">
        <w:t xml:space="preserve"> не е представил в срок обосновката </w:t>
      </w:r>
      <w:r w:rsidRPr="006923C1">
        <w:t xml:space="preserve">по </w:t>
      </w:r>
      <w:r w:rsidRPr="006923C1">
        <w:rPr>
          <w:rStyle w:val="samedocreference1"/>
          <w:color w:val="auto"/>
          <w:u w:val="none"/>
        </w:rPr>
        <w:t>чл. 72, ал. 1</w:t>
      </w:r>
      <w:r w:rsidRPr="006923C1">
        <w:t xml:space="preserve"> от ЗОП или оферта му не е приета съгласно </w:t>
      </w:r>
      <w:r w:rsidRPr="006923C1">
        <w:rPr>
          <w:rStyle w:val="samedocreference1"/>
          <w:color w:val="auto"/>
          <w:u w:val="none"/>
        </w:rPr>
        <w:t>чл. 72, ал. 3 – 5 от ЗОП</w:t>
      </w:r>
      <w:r w:rsidRPr="006923C1">
        <w:t>;</w:t>
      </w:r>
    </w:p>
    <w:p w14:paraId="3BF979DB" w14:textId="4CEB7BDD" w:rsidR="00A1545B" w:rsidRDefault="00B86C9C" w:rsidP="00E01B28">
      <w:pPr>
        <w:spacing w:line="276" w:lineRule="auto"/>
        <w:ind w:firstLine="709"/>
        <w:jc w:val="both"/>
        <w:textAlignment w:val="center"/>
      </w:pPr>
      <w:r>
        <w:rPr>
          <w:b/>
        </w:rPr>
        <w:t>2.</w:t>
      </w:r>
      <w:r w:rsidR="0024416F">
        <w:rPr>
          <w:b/>
        </w:rPr>
        <w:t>6</w:t>
      </w:r>
      <w:r w:rsidR="00E01B28" w:rsidRPr="005E02DA">
        <w:rPr>
          <w:b/>
        </w:rPr>
        <w:t>.</w:t>
      </w:r>
      <w:r w:rsidR="00E01B28" w:rsidRPr="005E02DA">
        <w:t xml:space="preserve"> </w:t>
      </w:r>
      <w:r w:rsidR="00A1545B" w:rsidRPr="005E02DA">
        <w:t>е подал самостоятелна оферта и същевременно е дал съгласие да бъде подизпълнител на друг участник или участва в обединение, което също е участник в процедурата;</w:t>
      </w:r>
    </w:p>
    <w:p w14:paraId="72D85134" w14:textId="4B0D1FCD" w:rsidR="00E01B28" w:rsidRPr="005E02DA" w:rsidRDefault="00A1545B" w:rsidP="00A1545B">
      <w:pPr>
        <w:spacing w:line="276" w:lineRule="auto"/>
        <w:ind w:firstLine="709"/>
        <w:jc w:val="both"/>
        <w:textAlignment w:val="center"/>
      </w:pPr>
      <w:r>
        <w:rPr>
          <w:b/>
        </w:rPr>
        <w:t>2.7</w:t>
      </w:r>
      <w:r w:rsidRPr="005E02DA">
        <w:rPr>
          <w:b/>
        </w:rPr>
        <w:t>.</w:t>
      </w:r>
      <w:r w:rsidRPr="005E02DA">
        <w:t xml:space="preserve"> </w:t>
      </w:r>
      <w:r w:rsidR="00E01B28" w:rsidRPr="005E02DA">
        <w:t>е свързано лице по см.</w:t>
      </w:r>
      <w:r w:rsidR="006923C1">
        <w:t xml:space="preserve"> </w:t>
      </w:r>
      <w:r w:rsidR="00E01B28" w:rsidRPr="005E02DA">
        <w:t>на § 1, т.45 от ДР на ЗОП с друг участник в процедурата.</w:t>
      </w:r>
    </w:p>
    <w:p w14:paraId="563104CB" w14:textId="35024B99" w:rsidR="00E01B28" w:rsidRDefault="00B86C9C" w:rsidP="00E01B28">
      <w:pPr>
        <w:spacing w:line="276" w:lineRule="auto"/>
        <w:ind w:firstLine="709"/>
        <w:jc w:val="both"/>
        <w:textAlignment w:val="center"/>
      </w:pPr>
      <w:r>
        <w:rPr>
          <w:b/>
        </w:rPr>
        <w:t>2.</w:t>
      </w:r>
      <w:r w:rsidR="0024416F">
        <w:rPr>
          <w:b/>
        </w:rPr>
        <w:t>8</w:t>
      </w:r>
      <w:r w:rsidR="00E01B28" w:rsidRPr="005E02DA">
        <w:rPr>
          <w:b/>
        </w:rPr>
        <w:t>.</w:t>
      </w:r>
      <w:r w:rsidR="00E01B28" w:rsidRPr="005E02DA">
        <w:t xml:space="preserve"> се установи, че е дружество, регистрирано в юрисдикция с преференциален данъчен режим или е контролирано от такова дружество, или някой от членовете на обединението е регистрирано или контролирано от регистрирано дружество лице, освен ако е налице изключение по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69F74B0A" w14:textId="742ADA80" w:rsidR="00A1545B" w:rsidRDefault="00A1545B" w:rsidP="00A1545B">
      <w:pPr>
        <w:tabs>
          <w:tab w:val="left" w:pos="851"/>
        </w:tabs>
        <w:spacing w:line="360" w:lineRule="auto"/>
        <w:jc w:val="both"/>
        <w:rPr>
          <w:rFonts w:eastAsia="Times New Roman"/>
          <w:b/>
          <w:i/>
          <w:snapToGrid w:val="0"/>
        </w:rPr>
      </w:pPr>
      <w:r>
        <w:rPr>
          <w:rFonts w:eastAsia="Times New Roman"/>
          <w:b/>
          <w:snapToGrid w:val="0"/>
        </w:rPr>
        <w:tab/>
      </w:r>
      <w:r w:rsidRPr="00E53559">
        <w:rPr>
          <w:rFonts w:eastAsia="Times New Roman"/>
          <w:b/>
          <w:snapToGrid w:val="0"/>
        </w:rPr>
        <w:t xml:space="preserve">Забележка: </w:t>
      </w:r>
      <w:r w:rsidRPr="00E53559">
        <w:rPr>
          <w:rFonts w:eastAsia="Times New Roman"/>
          <w:i/>
          <w:snapToGrid w:val="0"/>
        </w:rPr>
        <w:t>При подаване на оферта за участие</w:t>
      </w:r>
      <w:r w:rsidRPr="00E53559">
        <w:rPr>
          <w:rFonts w:eastAsia="Times New Roman"/>
          <w:b/>
          <w:i/>
          <w:snapToGrid w:val="0"/>
        </w:rPr>
        <w:t xml:space="preserve">, обстоятелствата по т. </w:t>
      </w:r>
      <w:r>
        <w:rPr>
          <w:rFonts w:eastAsia="Times New Roman"/>
          <w:b/>
          <w:i/>
          <w:snapToGrid w:val="0"/>
        </w:rPr>
        <w:t>2</w:t>
      </w:r>
      <w:r w:rsidRPr="00E53559">
        <w:rPr>
          <w:rFonts w:eastAsia="Times New Roman"/>
          <w:b/>
          <w:i/>
          <w:snapToGrid w:val="0"/>
        </w:rPr>
        <w:t>.</w:t>
      </w:r>
      <w:r>
        <w:rPr>
          <w:rFonts w:eastAsia="Times New Roman"/>
          <w:b/>
          <w:i/>
          <w:snapToGrid w:val="0"/>
        </w:rPr>
        <w:t>7</w:t>
      </w:r>
      <w:r w:rsidRPr="00E53559">
        <w:rPr>
          <w:rFonts w:eastAsia="Times New Roman"/>
          <w:b/>
          <w:i/>
          <w:snapToGrid w:val="0"/>
        </w:rPr>
        <w:t xml:space="preserve"> и т.</w:t>
      </w:r>
      <w:r>
        <w:rPr>
          <w:rFonts w:eastAsia="Times New Roman"/>
          <w:b/>
          <w:i/>
          <w:snapToGrid w:val="0"/>
        </w:rPr>
        <w:t> 2</w:t>
      </w:r>
      <w:r w:rsidRPr="00E53559">
        <w:rPr>
          <w:rFonts w:eastAsia="Times New Roman"/>
          <w:b/>
          <w:i/>
          <w:snapToGrid w:val="0"/>
        </w:rPr>
        <w:t>.</w:t>
      </w:r>
      <w:r>
        <w:rPr>
          <w:rFonts w:eastAsia="Times New Roman"/>
          <w:b/>
          <w:i/>
          <w:snapToGrid w:val="0"/>
        </w:rPr>
        <w:t>8</w:t>
      </w:r>
      <w:r w:rsidRPr="00E53559">
        <w:rPr>
          <w:rFonts w:eastAsia="Times New Roman"/>
          <w:b/>
          <w:i/>
          <w:snapToGrid w:val="0"/>
        </w:rPr>
        <w:t xml:space="preserve"> </w:t>
      </w:r>
      <w:r w:rsidRPr="00E53559">
        <w:rPr>
          <w:rFonts w:eastAsia="Times New Roman"/>
          <w:i/>
          <w:snapToGrid w:val="0"/>
        </w:rPr>
        <w:t xml:space="preserve">се декларират от участника чрез попълване на част III, буква „Г. Други </w:t>
      </w:r>
      <w:r w:rsidRPr="00E53559">
        <w:rPr>
          <w:rFonts w:eastAsia="Times New Roman"/>
          <w:i/>
          <w:snapToGrid w:val="0"/>
        </w:rPr>
        <w:lastRenderedPageBreak/>
        <w:t>основания за изключване, които може да бъдат предвидени в националното законодателство на възлагащия орган или възложителя на държава членка” от ЕЕДОП. Необходимо е участниците да</w:t>
      </w:r>
      <w:r w:rsidRPr="00E53559">
        <w:rPr>
          <w:rFonts w:eastAsia="Times New Roman"/>
          <w:b/>
          <w:i/>
          <w:snapToGrid w:val="0"/>
        </w:rPr>
        <w:t xml:space="preserve"> </w:t>
      </w:r>
      <w:r w:rsidRPr="00E53559">
        <w:rPr>
          <w:rFonts w:eastAsia="Times New Roman"/>
          <w:b/>
          <w:i/>
          <w:snapToGrid w:val="0"/>
          <w:u w:val="single"/>
        </w:rPr>
        <w:t>опишат изчерпателно посочените основания</w:t>
      </w:r>
      <w:r w:rsidRPr="00E53559">
        <w:rPr>
          <w:rFonts w:eastAsia="Times New Roman"/>
          <w:b/>
          <w:i/>
          <w:snapToGrid w:val="0"/>
        </w:rPr>
        <w:t xml:space="preserve"> за отстраняване и срещу всяко едно от тях да отбележат липсата/наличието им чрез посочване на „НЕ“/“ДА“ в полето за отговор.</w:t>
      </w:r>
    </w:p>
    <w:p w14:paraId="3191BDA2" w14:textId="77777777" w:rsidR="00E01B28" w:rsidRPr="005E02DA" w:rsidRDefault="00E01B28" w:rsidP="00E01B28">
      <w:pPr>
        <w:spacing w:line="276" w:lineRule="auto"/>
        <w:ind w:firstLine="709"/>
        <w:jc w:val="both"/>
        <w:textAlignment w:val="center"/>
      </w:pPr>
      <w:r w:rsidRPr="005E02DA">
        <w:rPr>
          <w:b/>
        </w:rPr>
        <w:t>3.</w:t>
      </w:r>
      <w:r w:rsidRPr="005E02DA">
        <w:t xml:space="preserve"> Наличието на обстоятелствата по т.</w:t>
      </w:r>
      <w:r w:rsidRPr="005E02DA">
        <w:rPr>
          <w:lang w:val="en-US"/>
        </w:rPr>
        <w:t xml:space="preserve"> </w:t>
      </w:r>
      <w:r w:rsidR="00961184">
        <w:t xml:space="preserve">2 </w:t>
      </w:r>
      <w:r w:rsidRPr="005E02DA">
        <w:t>са основание за отстраняване на участник и когато са налице спрямо посочен от участника подизпълнител и трето лице, на чийто капацитет се позовава участникът в процедурата.</w:t>
      </w:r>
    </w:p>
    <w:p w14:paraId="3F24BA2E" w14:textId="197D70C8" w:rsidR="00E01B28" w:rsidRPr="005E02DA" w:rsidRDefault="00E01B28" w:rsidP="00E01B28">
      <w:pPr>
        <w:spacing w:line="276" w:lineRule="auto"/>
        <w:ind w:firstLine="709"/>
        <w:jc w:val="both"/>
        <w:textAlignment w:val="center"/>
      </w:pPr>
      <w:r w:rsidRPr="005E02DA">
        <w:rPr>
          <w:b/>
        </w:rPr>
        <w:t>4.</w:t>
      </w:r>
      <w:r w:rsidRPr="005E02DA">
        <w:t xml:space="preserve"> Когато участник е юридическо лице, основанията за отстраняване </w:t>
      </w:r>
      <w:r w:rsidR="00E707FB">
        <w:t>по чл. 54, ал. 1, т. 1, 2 и 7 от ЗОП</w:t>
      </w:r>
      <w:r w:rsidRPr="005E02DA">
        <w:t xml:space="preserve"> се отнасят за лицата, които го представляват, както и членовете на неговите управителни и надзорни органи, или други лица, които имат правомощия да упражняват контрол при вземането на решения от тези органи. </w:t>
      </w:r>
    </w:p>
    <w:p w14:paraId="7F0757BD" w14:textId="77777777" w:rsidR="00E01B28" w:rsidRPr="005E02DA" w:rsidRDefault="00E01B28" w:rsidP="00E01B28">
      <w:pPr>
        <w:spacing w:line="276" w:lineRule="auto"/>
        <w:ind w:firstLine="709"/>
        <w:jc w:val="both"/>
        <w:textAlignment w:val="center"/>
      </w:pPr>
      <w:r w:rsidRPr="005E02DA">
        <w:rPr>
          <w:b/>
        </w:rPr>
        <w:t>5.</w:t>
      </w:r>
      <w:r w:rsidRPr="005E02DA">
        <w:t xml:space="preserve"> Когато участник е обединение на физически и/или юридически лица, което е </w:t>
      </w:r>
      <w:proofErr w:type="spellStart"/>
      <w:r w:rsidRPr="005E02DA">
        <w:t>неперсонифицирано</w:t>
      </w:r>
      <w:proofErr w:type="spellEnd"/>
      <w:r w:rsidRPr="005E02DA">
        <w:t>, то той се отстранява от участие, ког</w:t>
      </w:r>
      <w:r w:rsidR="00961184">
        <w:t xml:space="preserve">ато някое от основанията по т. 2 </w:t>
      </w:r>
      <w:r w:rsidRPr="005E02DA">
        <w:t xml:space="preserve"> включително е налице за член на обединението.</w:t>
      </w:r>
    </w:p>
    <w:p w14:paraId="57BDF67A" w14:textId="77777777" w:rsidR="00E01B28" w:rsidRPr="005E02DA" w:rsidRDefault="00E01B28" w:rsidP="00E01B28">
      <w:pPr>
        <w:spacing w:line="276" w:lineRule="auto"/>
        <w:ind w:firstLine="709"/>
        <w:jc w:val="both"/>
        <w:textAlignment w:val="center"/>
      </w:pPr>
      <w:r w:rsidRPr="005E02DA">
        <w:rPr>
          <w:b/>
        </w:rPr>
        <w:t>6.</w:t>
      </w:r>
      <w:r w:rsidRPr="005E02DA">
        <w:t xml:space="preserve"> Участник, за когото е налице някое от основанията за отстраняване по т.</w:t>
      </w:r>
      <w:r w:rsidRPr="005E02DA">
        <w:rPr>
          <w:lang w:val="en-US"/>
        </w:rPr>
        <w:t xml:space="preserve"> </w:t>
      </w:r>
      <w:r w:rsidRPr="005E02DA">
        <w:t>2</w:t>
      </w:r>
      <w:r w:rsidR="00961184">
        <w:t xml:space="preserve"> </w:t>
      </w:r>
      <w:r w:rsidRPr="005E02DA">
        <w:t xml:space="preserve">по отношение на член на обединение-участник, което е </w:t>
      </w:r>
      <w:proofErr w:type="spellStart"/>
      <w:r w:rsidRPr="005E02DA">
        <w:t>неперсонифицирано</w:t>
      </w:r>
      <w:proofErr w:type="spellEnd"/>
      <w:r w:rsidRPr="005E02DA">
        <w:t>, има право да докаже, че е предприел мерки за гарантиране на надеждност, съгласно чл. 56 от ЗОП.</w:t>
      </w:r>
    </w:p>
    <w:p w14:paraId="2DA59A3C" w14:textId="77777777" w:rsidR="00E01B28" w:rsidRPr="005E02DA" w:rsidRDefault="00E01B28" w:rsidP="00E01B28">
      <w:pPr>
        <w:spacing w:line="276" w:lineRule="auto"/>
        <w:ind w:firstLine="709"/>
        <w:jc w:val="both"/>
        <w:textAlignment w:val="center"/>
      </w:pPr>
      <w:r w:rsidRPr="005E02DA">
        <w:rPr>
          <w:b/>
        </w:rPr>
        <w:t>7.</w:t>
      </w:r>
      <w:r w:rsidRPr="005E02DA">
        <w:t xml:space="preserve"> Преди сключването на договор за обществена поръчка, участникът, определен за изпълнител предоставя актуални документи, удостоверяващи липсата на основанията за отстраняване, с изключение на тези, които са били предоставени или са служебно известни на възложителя, или могат да бъдат осигурени чрез пряк и безплатен достъп до националните бази данни на държавите членки. Когато участникът, избран за изпълнител е чуждестранно лице, той представя съответни документи, издадени от компетентни органи, съгласно законодателството на държавата, в която същият е установен, при условията на чл. 58, ал. 3-5 от ЗОП.</w:t>
      </w:r>
    </w:p>
    <w:p w14:paraId="451AC990" w14:textId="77777777" w:rsidR="00E01B28" w:rsidRPr="005E02DA" w:rsidRDefault="00E01B28" w:rsidP="00353322">
      <w:pPr>
        <w:tabs>
          <w:tab w:val="left" w:pos="284"/>
        </w:tabs>
        <w:spacing w:line="276" w:lineRule="auto"/>
        <w:jc w:val="both"/>
      </w:pPr>
    </w:p>
    <w:p w14:paraId="2FB36404" w14:textId="77777777" w:rsidR="00E01B28" w:rsidRPr="005E02DA" w:rsidRDefault="00E01B28" w:rsidP="00E01B28">
      <w:pPr>
        <w:tabs>
          <w:tab w:val="left" w:pos="284"/>
        </w:tabs>
        <w:spacing w:line="276" w:lineRule="auto"/>
        <w:ind w:left="284" w:firstLine="709"/>
        <w:jc w:val="both"/>
        <w:rPr>
          <w:b/>
          <w:caps/>
        </w:rPr>
      </w:pPr>
      <w:r w:rsidRPr="005E02DA">
        <w:t xml:space="preserve"> </w:t>
      </w:r>
      <w:r w:rsidRPr="005E02DA">
        <w:rPr>
          <w:b/>
          <w:caps/>
        </w:rPr>
        <w:t>ІІІ. Подготовка и съдържание на офертите</w:t>
      </w:r>
    </w:p>
    <w:p w14:paraId="1010CAF8" w14:textId="77777777" w:rsidR="009A6A0B" w:rsidRDefault="009A6A0B" w:rsidP="009A6A0B">
      <w:pPr>
        <w:tabs>
          <w:tab w:val="left" w:pos="284"/>
        </w:tabs>
        <w:spacing w:line="276" w:lineRule="auto"/>
        <w:jc w:val="both"/>
        <w:rPr>
          <w:b/>
          <w:caps/>
        </w:rPr>
      </w:pPr>
    </w:p>
    <w:p w14:paraId="332932CA" w14:textId="7C5C5E87" w:rsidR="001C2D28" w:rsidRPr="009A6A0B" w:rsidRDefault="00E01B28" w:rsidP="009A6A0B">
      <w:pPr>
        <w:tabs>
          <w:tab w:val="left" w:pos="284"/>
        </w:tabs>
        <w:spacing w:line="276" w:lineRule="auto"/>
        <w:jc w:val="both"/>
        <w:rPr>
          <w:b/>
        </w:rPr>
      </w:pPr>
      <w:r w:rsidRPr="005E02DA">
        <w:rPr>
          <w:b/>
        </w:rPr>
        <w:t xml:space="preserve">А. Информация за лично състояние и критерии за подбор. Друга информация и документи, изисквани от </w:t>
      </w:r>
      <w:r w:rsidR="00B03643">
        <w:rPr>
          <w:b/>
        </w:rPr>
        <w:t>възложителя, валидни</w:t>
      </w:r>
      <w:r w:rsidRPr="005E02DA">
        <w:rPr>
          <w:b/>
        </w:rPr>
        <w:t xml:space="preserve"> за </w:t>
      </w:r>
      <w:r w:rsidR="00B03643">
        <w:rPr>
          <w:b/>
        </w:rPr>
        <w:t>всички</w:t>
      </w:r>
      <w:r w:rsidRPr="005E02DA">
        <w:rPr>
          <w:b/>
        </w:rPr>
        <w:t xml:space="preserve"> обособени позиции:</w:t>
      </w:r>
      <w:r w:rsidR="001C2D28">
        <w:rPr>
          <w:b/>
        </w:rPr>
        <w:tab/>
      </w:r>
    </w:p>
    <w:p w14:paraId="294BCF66" w14:textId="2FBB176D" w:rsidR="001C2D28" w:rsidRPr="00403077" w:rsidRDefault="001C2D28" w:rsidP="005D0233">
      <w:pPr>
        <w:tabs>
          <w:tab w:val="left" w:pos="284"/>
        </w:tabs>
        <w:spacing w:line="276" w:lineRule="auto"/>
        <w:jc w:val="both"/>
        <w:rPr>
          <w:rFonts w:eastAsia="Times New Roman"/>
          <w:snapToGrid w:val="0"/>
        </w:rPr>
      </w:pPr>
      <w:r>
        <w:rPr>
          <w:b/>
        </w:rPr>
        <w:tab/>
      </w:r>
      <w:r>
        <w:rPr>
          <w:b/>
        </w:rPr>
        <w:tab/>
      </w:r>
      <w:r w:rsidR="00E01B28" w:rsidRPr="005E02DA">
        <w:rPr>
          <w:b/>
        </w:rPr>
        <w:t>1.</w:t>
      </w:r>
      <w:r w:rsidR="00E01B28" w:rsidRPr="005E02DA">
        <w:t xml:space="preserve"> </w:t>
      </w:r>
      <w:r w:rsidRPr="00403077">
        <w:rPr>
          <w:rFonts w:eastAsia="Times New Roman"/>
          <w:snapToGrid w:val="0"/>
        </w:rPr>
        <w:t xml:space="preserve">Единен европейски документ за обществени поръчки (ЕЕДОП </w:t>
      </w:r>
      <w:r>
        <w:rPr>
          <w:rFonts w:eastAsia="Times New Roman"/>
          <w:snapToGrid w:val="0"/>
        </w:rPr>
        <w:t>по образец</w:t>
      </w:r>
      <w:r w:rsidRPr="00403077">
        <w:rPr>
          <w:rFonts w:eastAsia="Times New Roman"/>
          <w:snapToGrid w:val="0"/>
        </w:rPr>
        <w:t>) за участника</w:t>
      </w:r>
      <w:r w:rsidRPr="00403077">
        <w:rPr>
          <w:snapToGrid w:val="0"/>
        </w:rPr>
        <w:t xml:space="preserve">, подписан от всички лица </w:t>
      </w:r>
      <w:r>
        <w:rPr>
          <w:snapToGrid w:val="0"/>
        </w:rPr>
        <w:t>по чл. 54, ал. 2</w:t>
      </w:r>
      <w:r w:rsidRPr="00403077">
        <w:rPr>
          <w:snapToGrid w:val="0"/>
        </w:rPr>
        <w:t xml:space="preserve"> от ЗОП, </w:t>
      </w:r>
      <w:r w:rsidRPr="00403077">
        <w:rPr>
          <w:rFonts w:eastAsia="Times New Roman"/>
          <w:snapToGrid w:val="0"/>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5C6049C1" w14:textId="77777777" w:rsidR="001C2D28" w:rsidRPr="00D343FA" w:rsidRDefault="001C2D28" w:rsidP="001C2D28">
      <w:pPr>
        <w:spacing w:line="360" w:lineRule="auto"/>
        <w:ind w:firstLine="709"/>
        <w:jc w:val="both"/>
        <w:rPr>
          <w:rFonts w:eastAsia="Times New Roman"/>
          <w:i/>
        </w:rPr>
      </w:pPr>
      <w:r w:rsidRPr="00D343FA">
        <w:rPr>
          <w:rFonts w:eastAsia="Times New Roman"/>
          <w:b/>
          <w:i/>
        </w:rPr>
        <w:t>Забележка:</w:t>
      </w:r>
      <w:r w:rsidRPr="00D343FA">
        <w:rPr>
          <w:rFonts w:eastAsia="Times New Roman"/>
          <w:i/>
        </w:rPr>
        <w:t xml:space="preserve"> </w:t>
      </w:r>
      <w:r>
        <w:rPr>
          <w:rFonts w:eastAsia="Times New Roman"/>
          <w:i/>
        </w:rPr>
        <w:t>На последната страница на ЕЕДОП (</w:t>
      </w:r>
      <w:r w:rsidRPr="00D343FA">
        <w:rPr>
          <w:rFonts w:eastAsia="Times New Roman"/>
          <w:i/>
        </w:rPr>
        <w:t>част VI. „Заключителни положения“</w:t>
      </w:r>
      <w:r>
        <w:rPr>
          <w:rFonts w:eastAsia="Times New Roman"/>
          <w:i/>
        </w:rPr>
        <w:t>) се</w:t>
      </w:r>
      <w:r w:rsidRPr="00D343FA">
        <w:rPr>
          <w:rFonts w:eastAsia="Times New Roman"/>
          <w:b/>
          <w:i/>
        </w:rPr>
        <w:t xml:space="preserve"> посоч</w:t>
      </w:r>
      <w:r>
        <w:rPr>
          <w:rFonts w:eastAsia="Times New Roman"/>
          <w:b/>
          <w:i/>
        </w:rPr>
        <w:t>ват</w:t>
      </w:r>
      <w:r w:rsidRPr="00D343FA">
        <w:rPr>
          <w:rFonts w:eastAsia="Times New Roman"/>
          <w:b/>
          <w:i/>
        </w:rPr>
        <w:t xml:space="preserve"> имена</w:t>
      </w:r>
      <w:r>
        <w:rPr>
          <w:rFonts w:eastAsia="Times New Roman"/>
          <w:b/>
          <w:i/>
        </w:rPr>
        <w:t>та на</w:t>
      </w:r>
      <w:r w:rsidRPr="00FD33F2">
        <w:rPr>
          <w:rFonts w:eastAsia="Times New Roman"/>
          <w:b/>
          <w:i/>
        </w:rPr>
        <w:t xml:space="preserve"> </w:t>
      </w:r>
      <w:r>
        <w:rPr>
          <w:rFonts w:eastAsia="Times New Roman"/>
          <w:b/>
          <w:i/>
        </w:rPr>
        <w:t>лицата</w:t>
      </w:r>
      <w:r w:rsidRPr="00D343FA">
        <w:rPr>
          <w:rFonts w:eastAsia="Times New Roman"/>
          <w:b/>
          <w:i/>
        </w:rPr>
        <w:t xml:space="preserve">, </w:t>
      </w:r>
      <w:r>
        <w:rPr>
          <w:rFonts w:eastAsia="Times New Roman"/>
          <w:b/>
          <w:i/>
        </w:rPr>
        <w:t>в какво качество се подписват и се полагат подписите на всички задължени да представят ЕЕДОП.</w:t>
      </w:r>
      <w:r w:rsidRPr="00D343FA">
        <w:rPr>
          <w:rFonts w:eastAsia="Times New Roman"/>
          <w:b/>
          <w:i/>
        </w:rPr>
        <w:t xml:space="preserve"> </w:t>
      </w:r>
    </w:p>
    <w:p w14:paraId="74FA58D0" w14:textId="77777777" w:rsidR="001C2D28" w:rsidRDefault="001C2D28" w:rsidP="001C2D28">
      <w:pPr>
        <w:spacing w:line="360" w:lineRule="auto"/>
        <w:ind w:firstLine="709"/>
        <w:jc w:val="both"/>
        <w:rPr>
          <w:snapToGrid w:val="0"/>
        </w:rPr>
      </w:pPr>
    </w:p>
    <w:p w14:paraId="432E0C63" w14:textId="7EA351E2" w:rsidR="001C2D28" w:rsidRDefault="001C2D28" w:rsidP="001C2D28">
      <w:pPr>
        <w:spacing w:line="360" w:lineRule="auto"/>
        <w:ind w:firstLine="709"/>
        <w:jc w:val="both"/>
        <w:rPr>
          <w:snapToGrid w:val="0"/>
        </w:rPr>
      </w:pPr>
      <w:r>
        <w:rPr>
          <w:snapToGrid w:val="0"/>
        </w:rPr>
        <w:t>*Лицата по чл. 54, ал. 2 от ЗОП са:</w:t>
      </w:r>
    </w:p>
    <w:p w14:paraId="589E104C" w14:textId="77777777" w:rsidR="001C2D28" w:rsidRDefault="001C2D28" w:rsidP="001C2D28">
      <w:pPr>
        <w:spacing w:line="360" w:lineRule="auto"/>
        <w:ind w:firstLine="709"/>
        <w:jc w:val="both"/>
        <w:rPr>
          <w:snapToGrid w:val="0"/>
        </w:rPr>
      </w:pPr>
      <w:r>
        <w:rPr>
          <w:snapToGrid w:val="0"/>
        </w:rPr>
        <w:t xml:space="preserve">а) лицата, които представляват участника; </w:t>
      </w:r>
    </w:p>
    <w:p w14:paraId="42E427C0" w14:textId="77777777" w:rsidR="001C2D28" w:rsidRDefault="001C2D28" w:rsidP="001C2D28">
      <w:pPr>
        <w:spacing w:line="360" w:lineRule="auto"/>
        <w:ind w:firstLine="709"/>
        <w:jc w:val="both"/>
        <w:rPr>
          <w:snapToGrid w:val="0"/>
        </w:rPr>
      </w:pPr>
      <w:r>
        <w:rPr>
          <w:snapToGrid w:val="0"/>
        </w:rPr>
        <w:t xml:space="preserve">б) лицата, които са членове на управителни и надзорни органи на участника; </w:t>
      </w:r>
    </w:p>
    <w:p w14:paraId="45D5B90E" w14:textId="46B7D3EA" w:rsidR="001C2D28" w:rsidRDefault="001C2D28" w:rsidP="001C2D28">
      <w:pPr>
        <w:spacing w:line="360" w:lineRule="auto"/>
        <w:ind w:firstLine="709"/>
        <w:jc w:val="both"/>
        <w:rPr>
          <w:snapToGrid w:val="0"/>
        </w:rPr>
      </w:pPr>
      <w:r>
        <w:rPr>
          <w:snapToGrid w:val="0"/>
        </w:rPr>
        <w:t xml:space="preserve">в) други лица, който </w:t>
      </w:r>
      <w:r w:rsidR="00D923F9">
        <w:rPr>
          <w:snapToGrid w:val="0"/>
        </w:rPr>
        <w:t>имат правомощия да упражняват контрол при вземането на решения от тези органи</w:t>
      </w:r>
      <w:r>
        <w:rPr>
          <w:snapToGrid w:val="0"/>
        </w:rPr>
        <w:t>.</w:t>
      </w:r>
    </w:p>
    <w:p w14:paraId="59E528C0" w14:textId="77777777" w:rsidR="00E01B28" w:rsidRPr="005E02DA" w:rsidRDefault="00E01B28" w:rsidP="001C2D28">
      <w:pPr>
        <w:spacing w:line="276" w:lineRule="auto"/>
        <w:ind w:firstLine="709"/>
        <w:jc w:val="both"/>
      </w:pPr>
      <w:r w:rsidRPr="005E02DA">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47592BA3" w14:textId="77777777" w:rsidR="00E01B28" w:rsidRPr="001A34DC" w:rsidRDefault="00E01B28" w:rsidP="00353322">
      <w:pPr>
        <w:spacing w:line="276" w:lineRule="auto"/>
        <w:ind w:firstLine="709"/>
        <w:jc w:val="both"/>
      </w:pPr>
      <w:r w:rsidRPr="001A34DC">
        <w:t>Участник (икономически оператор), който участва самостоятелно в обществената поръчка и не използва капацитета на трети лица и подизпълнители, попълва и представя един ЕЕДОП</w:t>
      </w:r>
      <w:r w:rsidR="001A34DC" w:rsidRPr="001A34DC">
        <w:t xml:space="preserve"> за съответната обособена позиция</w:t>
      </w:r>
      <w:r w:rsidRPr="001A34DC">
        <w:t>.</w:t>
      </w:r>
    </w:p>
    <w:p w14:paraId="4966E480" w14:textId="48F1AF5A" w:rsidR="00E01B28" w:rsidRPr="005E02DA" w:rsidRDefault="00E01B28" w:rsidP="00E01B28">
      <w:pPr>
        <w:spacing w:line="276" w:lineRule="auto"/>
        <w:ind w:firstLine="709"/>
        <w:jc w:val="both"/>
        <w:textAlignment w:val="center"/>
      </w:pPr>
      <w:r w:rsidRPr="005E02DA">
        <w:t>Когато изискванията по раздел ІІ, т.</w:t>
      </w:r>
      <w:r w:rsidRPr="005E02DA">
        <w:rPr>
          <w:lang w:val="en-US"/>
        </w:rPr>
        <w:t xml:space="preserve"> </w:t>
      </w:r>
      <w:r w:rsidR="005546E5">
        <w:t>2</w:t>
      </w:r>
      <w:r w:rsidR="00D923F9">
        <w:t>, т.</w:t>
      </w:r>
      <w:r w:rsidR="00D923F9" w:rsidRPr="00D343FA">
        <w:t xml:space="preserve"> 2.1</w:t>
      </w:r>
      <w:r w:rsidR="00D923F9">
        <w:t>.</w:t>
      </w:r>
      <w:r w:rsidR="00D923F9" w:rsidRPr="00D343FA">
        <w:t>1</w:t>
      </w:r>
      <w:r w:rsidR="00D923F9">
        <w:t>,</w:t>
      </w:r>
      <w:r w:rsidR="00D923F9" w:rsidRPr="00D343FA">
        <w:t xml:space="preserve"> т. 2.1.2 и т. 2.1.7</w:t>
      </w:r>
      <w:r w:rsidR="00D923F9">
        <w:t xml:space="preserve">, </w:t>
      </w:r>
      <w:r w:rsidRPr="005E02DA">
        <w:t xml:space="preserve"> от настоящите указания, се отнасят за повече от едно лице, всички лица подписват един и същ ЕЕДОП. </w:t>
      </w:r>
    </w:p>
    <w:p w14:paraId="0B58D00E" w14:textId="77777777" w:rsidR="00E01B28" w:rsidRPr="005E02DA" w:rsidRDefault="00E01B28" w:rsidP="00E01B28">
      <w:pPr>
        <w:spacing w:line="276" w:lineRule="auto"/>
        <w:ind w:firstLine="709"/>
        <w:jc w:val="both"/>
      </w:pPr>
      <w:r w:rsidRPr="005E02DA">
        <w:t xml:space="preserve">Когато е приложимо, участникът представя документи, удостоверяващи предприетите от него мерки за доказване на надеждност, съгласно чл. 56 от ЗОП. Предприетите мерки се описват в съответния раздел на ЕЕДОП. Като доказателства за надеждността на участника се представят някои или всички от изброените в чл. 45, ал. 2 от ППЗОП документи. </w:t>
      </w:r>
    </w:p>
    <w:p w14:paraId="69325C7C" w14:textId="77777777" w:rsidR="00E01B28" w:rsidRPr="005E02DA" w:rsidRDefault="00E01B28" w:rsidP="00E01B28">
      <w:pPr>
        <w:spacing w:line="276" w:lineRule="auto"/>
        <w:ind w:firstLine="709"/>
        <w:jc w:val="both"/>
      </w:pPr>
      <w:r w:rsidRPr="005E02DA">
        <w:t xml:space="preserve">Участниците са длъжни да уведомят писмено възложителя за настъпване на обстоятелствата </w:t>
      </w:r>
      <w:r w:rsidR="002A2E39">
        <w:t>по раздел ІІ, т.2</w:t>
      </w:r>
      <w:r w:rsidRPr="005E02DA">
        <w:t xml:space="preserve"> от настоящите указания, в 3-дневен срок от настъпването.  </w:t>
      </w:r>
    </w:p>
    <w:p w14:paraId="4C12F21D" w14:textId="77777777" w:rsidR="00E01B28" w:rsidRPr="005E02DA" w:rsidRDefault="00E01B28" w:rsidP="00E01B28">
      <w:pPr>
        <w:spacing w:line="276" w:lineRule="auto"/>
        <w:ind w:firstLine="709"/>
        <w:jc w:val="both"/>
        <w:textAlignment w:val="center"/>
      </w:pPr>
      <w:r w:rsidRPr="005E02DA">
        <w:t>В случаите по чл. 41, ал. 1 от ППЗОП, когато се подава повече от един ЕЕДОП, обстоятелствата, свързани с критериите за подбор, се попълват от участника само в ЕЕДОП, подписан от лице, което може самостоятелно да представлява съответния икономически оператор (участник).</w:t>
      </w:r>
    </w:p>
    <w:p w14:paraId="0DDF200D" w14:textId="77777777" w:rsidR="00E01B28" w:rsidRPr="005E02DA" w:rsidRDefault="00E01B28" w:rsidP="00E01B28">
      <w:pPr>
        <w:spacing w:line="276" w:lineRule="auto"/>
        <w:ind w:firstLine="709"/>
        <w:jc w:val="both"/>
        <w:textAlignment w:val="center"/>
      </w:pPr>
      <w:r w:rsidRPr="005E02DA">
        <w:rPr>
          <w:b/>
        </w:rPr>
        <w:t xml:space="preserve">2. </w:t>
      </w:r>
      <w:r w:rsidRPr="005E02DA">
        <w:t>Участник -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14:paraId="43DD3A36" w14:textId="77777777" w:rsidR="00E01B28" w:rsidRPr="005E02DA" w:rsidRDefault="00E01B28" w:rsidP="00E01B28">
      <w:pPr>
        <w:spacing w:line="276" w:lineRule="auto"/>
        <w:ind w:firstLine="709"/>
        <w:jc w:val="both"/>
        <w:textAlignment w:val="center"/>
      </w:pPr>
      <w:r w:rsidRPr="005E02DA">
        <w:t>2.1. правата и задълженията на участниците в обединението;</w:t>
      </w:r>
    </w:p>
    <w:p w14:paraId="190EF8E5" w14:textId="77777777" w:rsidR="00E01B28" w:rsidRPr="005E02DA" w:rsidRDefault="00E01B28" w:rsidP="00E01B28">
      <w:pPr>
        <w:spacing w:line="276" w:lineRule="auto"/>
        <w:ind w:firstLine="709"/>
        <w:jc w:val="both"/>
        <w:textAlignment w:val="center"/>
      </w:pPr>
      <w:r w:rsidRPr="005E02DA">
        <w:t>2.2. солидарно поемане на отговорността за изпълнение на обществената поръчка от членовете на обединението;</w:t>
      </w:r>
    </w:p>
    <w:p w14:paraId="6E6F2368" w14:textId="77777777" w:rsidR="00E01B28" w:rsidRPr="005E02DA" w:rsidRDefault="00E01B28" w:rsidP="00E01B28">
      <w:pPr>
        <w:spacing w:line="276" w:lineRule="auto"/>
        <w:ind w:firstLine="709"/>
        <w:jc w:val="both"/>
        <w:textAlignment w:val="center"/>
      </w:pPr>
      <w:r w:rsidRPr="005E02DA">
        <w:t>2.3. дейностите, които ще изпълнява всеки член на обединението;</w:t>
      </w:r>
    </w:p>
    <w:p w14:paraId="38AE5228" w14:textId="77777777" w:rsidR="00E01B28" w:rsidRDefault="00E01B28" w:rsidP="002E2390">
      <w:pPr>
        <w:spacing w:line="276" w:lineRule="auto"/>
        <w:ind w:firstLine="709"/>
        <w:jc w:val="both"/>
        <w:textAlignment w:val="center"/>
      </w:pPr>
      <w:r w:rsidRPr="005E02DA">
        <w:t>2.4. представляващ обединението партньор.</w:t>
      </w:r>
    </w:p>
    <w:p w14:paraId="1292884C" w14:textId="77777777" w:rsidR="00E01B28" w:rsidRPr="005E02DA" w:rsidRDefault="002E2390" w:rsidP="00E01B28">
      <w:pPr>
        <w:spacing w:line="276" w:lineRule="auto"/>
        <w:ind w:firstLine="709"/>
        <w:jc w:val="both"/>
        <w:rPr>
          <w:b/>
          <w:bCs/>
          <w:i/>
        </w:rPr>
      </w:pPr>
      <w:r>
        <w:rPr>
          <w:b/>
        </w:rPr>
        <w:t>3</w:t>
      </w:r>
      <w:r w:rsidR="00E01B28" w:rsidRPr="005E02DA">
        <w:rPr>
          <w:b/>
        </w:rPr>
        <w:t>.</w:t>
      </w:r>
      <w:r w:rsidR="00E01B28" w:rsidRPr="005E02DA">
        <w:t xml:space="preserve"> </w:t>
      </w:r>
      <w:r w:rsidR="00E01B28" w:rsidRPr="005E02DA">
        <w:rPr>
          <w:bCs/>
        </w:rPr>
        <w:t>Опис/и на документите и информацията, съдържащи се в опаковката, подписан от участника, съгласно чл. 47, ал. 3 от ППЗОП.</w:t>
      </w:r>
    </w:p>
    <w:p w14:paraId="1A839531" w14:textId="77777777" w:rsidR="00E01B28" w:rsidRPr="005E02DA" w:rsidRDefault="00E01B28" w:rsidP="00E01B28">
      <w:pPr>
        <w:tabs>
          <w:tab w:val="left" w:pos="284"/>
        </w:tabs>
        <w:spacing w:line="276" w:lineRule="auto"/>
        <w:ind w:left="284" w:firstLine="720"/>
        <w:jc w:val="both"/>
        <w:textAlignment w:val="center"/>
        <w:rPr>
          <w:b/>
        </w:rPr>
      </w:pPr>
    </w:p>
    <w:p w14:paraId="44FF3A83" w14:textId="77777777" w:rsidR="00E01B28" w:rsidRPr="00BF4BE1" w:rsidRDefault="00BF4BE1" w:rsidP="009A6A0B">
      <w:pPr>
        <w:tabs>
          <w:tab w:val="left" w:pos="284"/>
        </w:tabs>
        <w:spacing w:line="276" w:lineRule="auto"/>
        <w:jc w:val="both"/>
        <w:textAlignment w:val="center"/>
        <w:rPr>
          <w:b/>
        </w:rPr>
      </w:pPr>
      <w:r>
        <w:rPr>
          <w:b/>
        </w:rPr>
        <w:t xml:space="preserve">            </w:t>
      </w:r>
      <w:r w:rsidR="00E01B28" w:rsidRPr="00BF4BE1">
        <w:rPr>
          <w:b/>
        </w:rPr>
        <w:t>Б. ОФЕРТА</w:t>
      </w:r>
    </w:p>
    <w:p w14:paraId="0E7498E5" w14:textId="77777777" w:rsidR="00E01B28" w:rsidRPr="00BF4BE1" w:rsidRDefault="00E01B28" w:rsidP="00E01B28">
      <w:pPr>
        <w:spacing w:line="276" w:lineRule="auto"/>
        <w:ind w:firstLine="709"/>
        <w:jc w:val="both"/>
        <w:textAlignment w:val="center"/>
      </w:pPr>
      <w:r w:rsidRPr="00BF4BE1">
        <w:rPr>
          <w:b/>
        </w:rPr>
        <w:t>1.</w:t>
      </w:r>
      <w:r w:rsidRPr="00BF4BE1">
        <w:t xml:space="preserve"> </w:t>
      </w:r>
      <w:r w:rsidRPr="00BF4BE1">
        <w:rPr>
          <w:b/>
        </w:rPr>
        <w:t>Техническо предложение</w:t>
      </w:r>
      <w:r w:rsidRPr="00BF4BE1">
        <w:t xml:space="preserve"> </w:t>
      </w:r>
      <w:r w:rsidRPr="00BF4BE1">
        <w:rPr>
          <w:bCs/>
          <w:i/>
        </w:rPr>
        <w:t xml:space="preserve">(съгласно приложения към документацията </w:t>
      </w:r>
      <w:r w:rsidRPr="00BF4BE1">
        <w:rPr>
          <w:bCs/>
          <w:i/>
        </w:rPr>
        <w:lastRenderedPageBreak/>
        <w:t>образец за съответната обособена позиция)</w:t>
      </w:r>
    </w:p>
    <w:p w14:paraId="2A1A52D9" w14:textId="77777777" w:rsidR="00E01B28" w:rsidRPr="00BF4BE1" w:rsidRDefault="00E01B28" w:rsidP="00E01B28">
      <w:pPr>
        <w:spacing w:line="276" w:lineRule="auto"/>
        <w:ind w:firstLine="709"/>
        <w:jc w:val="both"/>
        <w:textAlignment w:val="center"/>
      </w:pPr>
      <w:r w:rsidRPr="00BF4BE1">
        <w:t>1.1. Участникът изчерпателно посочва конкретните си предложения за изпълнение на поръчката, съгласно изискванията на възложителя в образеца на „Техническо предложение“ по съответната обособена позиция;</w:t>
      </w:r>
    </w:p>
    <w:p w14:paraId="4EE91783" w14:textId="77777777" w:rsidR="00E01B28" w:rsidRPr="00BF4BE1" w:rsidRDefault="00E01B28" w:rsidP="00E01B28">
      <w:pPr>
        <w:spacing w:line="276" w:lineRule="auto"/>
        <w:jc w:val="both"/>
        <w:textAlignment w:val="center"/>
      </w:pPr>
      <w:r w:rsidRPr="00BF4BE1">
        <w:tab/>
        <w:t>1.2. Срок за изпълнение на поръчката, съгласно изискванията на възложителя;</w:t>
      </w:r>
    </w:p>
    <w:p w14:paraId="5F37DDC5" w14:textId="77777777" w:rsidR="00E01B28" w:rsidRPr="00BF4BE1" w:rsidRDefault="00E01B28" w:rsidP="00E01B28">
      <w:pPr>
        <w:spacing w:line="276" w:lineRule="auto"/>
        <w:jc w:val="both"/>
        <w:textAlignment w:val="center"/>
      </w:pPr>
      <w:r w:rsidRPr="00BF4BE1">
        <w:tab/>
        <w:t xml:space="preserve">1.3. </w:t>
      </w:r>
      <w:proofErr w:type="spellStart"/>
      <w:r w:rsidRPr="00BF4BE1">
        <w:t>Местоизпълнение</w:t>
      </w:r>
      <w:proofErr w:type="spellEnd"/>
      <w:r w:rsidRPr="00BF4BE1">
        <w:t xml:space="preserve"> на поръчката, съгласно изискванията на възложителя;</w:t>
      </w:r>
    </w:p>
    <w:p w14:paraId="7D43BEF5" w14:textId="77777777" w:rsidR="00E01B28" w:rsidRPr="005E02DA" w:rsidRDefault="00E01B28" w:rsidP="00E01B28">
      <w:pPr>
        <w:spacing w:line="276" w:lineRule="auto"/>
        <w:ind w:firstLine="709"/>
        <w:jc w:val="both"/>
        <w:textAlignment w:val="center"/>
        <w:rPr>
          <w:i/>
        </w:rPr>
      </w:pPr>
      <w:r w:rsidRPr="00BF4BE1">
        <w:t xml:space="preserve">1.4. Декларация за срок на валидност на офертата – посоченото от възложителя в обявлението за поръчка време, през което участниците са обвързани с условията на представените от тях оферти, </w:t>
      </w:r>
      <w:r w:rsidRPr="00BF4BE1">
        <w:rPr>
          <w:i/>
        </w:rPr>
        <w:t xml:space="preserve">(съдържа се </w:t>
      </w:r>
      <w:r w:rsidR="00BF4BE1">
        <w:rPr>
          <w:i/>
        </w:rPr>
        <w:t xml:space="preserve">като текст </w:t>
      </w:r>
      <w:r w:rsidR="00996BC8">
        <w:rPr>
          <w:i/>
        </w:rPr>
        <w:t>в приложения</w:t>
      </w:r>
      <w:r w:rsidRPr="00BF4BE1">
        <w:rPr>
          <w:i/>
        </w:rPr>
        <w:t xml:space="preserve"> към документацията образец на Техническо предложение по съответната обособена позиция</w:t>
      </w:r>
      <w:r w:rsidR="00A85036">
        <w:rPr>
          <w:i/>
        </w:rPr>
        <w:t xml:space="preserve"> и не е необходимо представяне на отделна декларация извън Техническото предложение</w:t>
      </w:r>
      <w:r w:rsidRPr="00BF4BE1">
        <w:rPr>
          <w:i/>
        </w:rPr>
        <w:t>);</w:t>
      </w:r>
      <w:r w:rsidRPr="005E02DA">
        <w:tab/>
      </w:r>
    </w:p>
    <w:p w14:paraId="2B01A887" w14:textId="77777777" w:rsidR="00E01B28" w:rsidRPr="005E02DA" w:rsidRDefault="00E01B28" w:rsidP="00E01B28">
      <w:pPr>
        <w:spacing w:line="276" w:lineRule="auto"/>
        <w:ind w:firstLine="709"/>
        <w:jc w:val="both"/>
        <w:textAlignment w:val="center"/>
        <w:rPr>
          <w:i/>
        </w:rPr>
      </w:pPr>
      <w:r w:rsidRPr="005E02DA">
        <w:t xml:space="preserve">1.5. Декларация за съгласие с условията на приложения към документацията проект на договор по съответната обособена позиция, за която се подава оферта, </w:t>
      </w:r>
      <w:r w:rsidR="00A85036" w:rsidRPr="00BF4BE1">
        <w:rPr>
          <w:i/>
        </w:rPr>
        <w:t xml:space="preserve">(съдържа се </w:t>
      </w:r>
      <w:r w:rsidR="00A85036">
        <w:rPr>
          <w:i/>
        </w:rPr>
        <w:t xml:space="preserve">като текст </w:t>
      </w:r>
      <w:r w:rsidR="00A85036" w:rsidRPr="00BF4BE1">
        <w:rPr>
          <w:i/>
        </w:rPr>
        <w:t>в приложеният към документацията образец на Техническо предложение по съответната обособена позиция</w:t>
      </w:r>
      <w:r w:rsidR="00A85036">
        <w:rPr>
          <w:i/>
        </w:rPr>
        <w:t xml:space="preserve"> и не е необходимо представяне на отделна декларация извън Техническото предложение</w:t>
      </w:r>
      <w:r w:rsidR="00A85036" w:rsidRPr="00BF4BE1">
        <w:rPr>
          <w:i/>
        </w:rPr>
        <w:t>)</w:t>
      </w:r>
      <w:r w:rsidRPr="005E02DA">
        <w:rPr>
          <w:i/>
        </w:rPr>
        <w:t>;</w:t>
      </w:r>
    </w:p>
    <w:p w14:paraId="79AB0FB1" w14:textId="77777777" w:rsidR="00E01B28" w:rsidRPr="005E02DA" w:rsidRDefault="00E01B28" w:rsidP="00E01B28">
      <w:pPr>
        <w:spacing w:line="276" w:lineRule="auto"/>
        <w:jc w:val="both"/>
        <w:textAlignment w:val="center"/>
      </w:pPr>
      <w:r w:rsidRPr="005E02DA">
        <w:tab/>
        <w:t>1.</w:t>
      </w:r>
      <w:r w:rsidR="007F64CE">
        <w:t>6</w:t>
      </w:r>
      <w:r w:rsidRPr="005E02DA">
        <w:t>. Документ за упълномощаване, когато, лицето, което подава офертата не е законният представител на участника;</w:t>
      </w:r>
    </w:p>
    <w:p w14:paraId="3285F289" w14:textId="77777777" w:rsidR="00AE22A0" w:rsidRDefault="00AE22A0" w:rsidP="00AE22A0">
      <w:pPr>
        <w:tabs>
          <w:tab w:val="left" w:pos="0"/>
        </w:tabs>
        <w:spacing w:line="276" w:lineRule="auto"/>
        <w:jc w:val="both"/>
        <w:rPr>
          <w:b/>
        </w:rPr>
      </w:pPr>
    </w:p>
    <w:p w14:paraId="57B647B6" w14:textId="77777777" w:rsidR="00E01B28" w:rsidRPr="007F390A" w:rsidRDefault="00E01B28" w:rsidP="00AE22A0">
      <w:pPr>
        <w:tabs>
          <w:tab w:val="left" w:pos="0"/>
        </w:tabs>
        <w:spacing w:line="276" w:lineRule="auto"/>
        <w:jc w:val="both"/>
        <w:rPr>
          <w:i/>
        </w:rPr>
      </w:pPr>
      <w:r w:rsidRPr="007F390A">
        <w:rPr>
          <w:b/>
        </w:rPr>
        <w:t>Забележка: В случай, че се участва за повече от една обособена позиция, образеца „Техническо предложение за обособена позиц</w:t>
      </w:r>
      <w:r w:rsidR="00AE22A0" w:rsidRPr="007F390A">
        <w:rPr>
          <w:b/>
        </w:rPr>
        <w:t>и</w:t>
      </w:r>
      <w:r w:rsidRPr="007F390A">
        <w:rPr>
          <w:b/>
        </w:rPr>
        <w:t>я №……“ се попълва отделно за всяка от обособените позиции</w:t>
      </w:r>
      <w:r w:rsidRPr="007F390A">
        <w:rPr>
          <w:i/>
        </w:rPr>
        <w:t>.</w:t>
      </w:r>
    </w:p>
    <w:p w14:paraId="06E9F813" w14:textId="77777777" w:rsidR="00E01B28" w:rsidRPr="007F390A" w:rsidRDefault="00E01B28" w:rsidP="00E01B28">
      <w:pPr>
        <w:tabs>
          <w:tab w:val="left" w:pos="284"/>
        </w:tabs>
        <w:spacing w:line="276" w:lineRule="auto"/>
        <w:jc w:val="both"/>
        <w:rPr>
          <w:i/>
        </w:rPr>
      </w:pPr>
    </w:p>
    <w:p w14:paraId="58DE940B" w14:textId="77777777" w:rsidR="00E01B28" w:rsidRDefault="00E01B28" w:rsidP="00E01B28">
      <w:pPr>
        <w:spacing w:line="276" w:lineRule="auto"/>
        <w:jc w:val="both"/>
        <w:textAlignment w:val="center"/>
        <w:rPr>
          <w:bCs/>
          <w:i/>
        </w:rPr>
      </w:pPr>
      <w:r w:rsidRPr="005E02DA">
        <w:tab/>
      </w:r>
      <w:r w:rsidRPr="005E02DA">
        <w:rPr>
          <w:b/>
        </w:rPr>
        <w:t>2.</w:t>
      </w:r>
      <w:r w:rsidRPr="005E02DA">
        <w:t xml:space="preserve"> </w:t>
      </w:r>
      <w:r w:rsidRPr="005E02DA">
        <w:rPr>
          <w:b/>
        </w:rPr>
        <w:t>Ценово предложение</w:t>
      </w:r>
      <w:r w:rsidRPr="005E02DA">
        <w:t xml:space="preserve"> </w:t>
      </w:r>
      <w:r w:rsidRPr="005E02DA">
        <w:rPr>
          <w:bCs/>
          <w:i/>
        </w:rPr>
        <w:t>(съгласно приложения към документацията образец за съответната обособена позиция)</w:t>
      </w:r>
    </w:p>
    <w:p w14:paraId="6DE24B1A" w14:textId="2C1FF8A5" w:rsidR="00121C83" w:rsidRDefault="00121C83" w:rsidP="00121C83">
      <w:pPr>
        <w:spacing w:line="276" w:lineRule="auto"/>
        <w:ind w:firstLine="720"/>
        <w:jc w:val="both"/>
        <w:rPr>
          <w:rFonts w:eastAsia="Times New Roman"/>
          <w:kern w:val="0"/>
          <w:lang w:eastAsia="en-US"/>
        </w:rPr>
      </w:pPr>
      <w:r w:rsidRPr="00121C83">
        <w:rPr>
          <w:rFonts w:eastAsia="Times New Roman"/>
          <w:b/>
          <w:kern w:val="0"/>
          <w:lang w:eastAsia="en-US"/>
        </w:rPr>
        <w:t>Критерий за определяне на икономически най-изгодната оферта</w:t>
      </w:r>
      <w:r w:rsidRPr="00121C83">
        <w:rPr>
          <w:rFonts w:eastAsia="Times New Roman"/>
          <w:kern w:val="0"/>
          <w:lang w:eastAsia="en-US"/>
        </w:rPr>
        <w:t xml:space="preserve"> - „най-ниска цена” чл. 70, ал. 2, т. 1 от ЗОП (валиден за п</w:t>
      </w:r>
      <w:r w:rsidR="00B64ED7">
        <w:rPr>
          <w:rFonts w:eastAsia="Times New Roman"/>
          <w:kern w:val="0"/>
          <w:lang w:eastAsia="en-US"/>
        </w:rPr>
        <w:t>етте обособени позиции)</w:t>
      </w:r>
      <w:r w:rsidR="00B24CD2" w:rsidRPr="00B24CD2">
        <w:t xml:space="preserve"> </w:t>
      </w:r>
      <w:r w:rsidR="00B24CD2" w:rsidRPr="00B24CD2">
        <w:rPr>
          <w:rFonts w:eastAsia="Times New Roman"/>
          <w:kern w:val="0"/>
          <w:lang w:eastAsia="en-US"/>
        </w:rPr>
        <w:t>като показателите, относителната им тежест и методиката за определяне на оценката по всеки показател са посочени в „</w:t>
      </w:r>
      <w:r w:rsidR="00166B28">
        <w:rPr>
          <w:rFonts w:eastAsia="Times New Roman"/>
          <w:kern w:val="0"/>
          <w:lang w:eastAsia="en-US"/>
        </w:rPr>
        <w:t>М</w:t>
      </w:r>
      <w:r w:rsidR="00166B28" w:rsidRPr="00166B28">
        <w:rPr>
          <w:rFonts w:eastAsia="Times New Roman"/>
          <w:kern w:val="0"/>
          <w:lang w:eastAsia="en-US"/>
        </w:rPr>
        <w:t>етодика за комплексна оценка на офертите и начин за определяне</w:t>
      </w:r>
      <w:r w:rsidR="00166B28">
        <w:rPr>
          <w:rFonts w:eastAsia="Times New Roman"/>
          <w:kern w:val="0"/>
          <w:lang w:eastAsia="en-US"/>
        </w:rPr>
        <w:t xml:space="preserve"> на оценката по всеки показател</w:t>
      </w:r>
      <w:r w:rsidR="00B24CD2" w:rsidRPr="00B24CD2">
        <w:rPr>
          <w:rFonts w:eastAsia="Times New Roman"/>
          <w:kern w:val="0"/>
          <w:lang w:eastAsia="en-US"/>
        </w:rPr>
        <w:t>”</w:t>
      </w:r>
      <w:r w:rsidR="00AA53C5">
        <w:rPr>
          <w:rFonts w:eastAsia="Times New Roman"/>
          <w:kern w:val="0"/>
          <w:lang w:eastAsia="en-US"/>
        </w:rPr>
        <w:t>, неразделна част от документацията за обществената поръчката.</w:t>
      </w:r>
    </w:p>
    <w:p w14:paraId="1D680DDF" w14:textId="77777777" w:rsidR="00B64ED7" w:rsidRPr="00121C83" w:rsidRDefault="00B64ED7" w:rsidP="00121C83">
      <w:pPr>
        <w:spacing w:line="276" w:lineRule="auto"/>
        <w:ind w:firstLine="720"/>
        <w:jc w:val="both"/>
        <w:rPr>
          <w:rFonts w:eastAsia="Times New Roman"/>
          <w:kern w:val="0"/>
          <w:lang w:eastAsia="en-US"/>
        </w:rPr>
      </w:pPr>
    </w:p>
    <w:p w14:paraId="3BE8ED5E" w14:textId="473BFCDC" w:rsidR="00121C83" w:rsidRDefault="00121C83" w:rsidP="00121C83">
      <w:pPr>
        <w:widowControl/>
        <w:tabs>
          <w:tab w:val="left" w:pos="0"/>
        </w:tabs>
        <w:overflowPunct/>
        <w:adjustRightInd/>
        <w:spacing w:line="276" w:lineRule="auto"/>
        <w:ind w:right="-115"/>
        <w:jc w:val="both"/>
        <w:rPr>
          <w:rFonts w:eastAsia="Times New Roman"/>
          <w:b/>
          <w:kern w:val="0"/>
        </w:rPr>
      </w:pPr>
      <w:r w:rsidRPr="00121C83">
        <w:rPr>
          <w:rFonts w:eastAsia="Times New Roman"/>
          <w:kern w:val="0"/>
        </w:rPr>
        <w:tab/>
        <w:t xml:space="preserve">Предложената </w:t>
      </w:r>
      <w:r w:rsidRPr="00121C83">
        <w:rPr>
          <w:rFonts w:eastAsia="Times New Roman"/>
          <w:b/>
          <w:kern w:val="0"/>
        </w:rPr>
        <w:t>„</w:t>
      </w:r>
      <w:r w:rsidRPr="00121C83">
        <w:rPr>
          <w:rFonts w:eastAsia="Times New Roman"/>
          <w:b/>
          <w:i/>
          <w:kern w:val="0"/>
          <w:lang w:eastAsia="en-US"/>
        </w:rPr>
        <w:t xml:space="preserve">Месечна цена без ДДС за </w:t>
      </w:r>
      <w:r w:rsidR="00783308">
        <w:rPr>
          <w:rFonts w:eastAsia="Times New Roman"/>
          <w:b/>
          <w:i/>
          <w:kern w:val="0"/>
          <w:lang w:eastAsia="en-US"/>
        </w:rPr>
        <w:t xml:space="preserve">сервизна </w:t>
      </w:r>
      <w:r w:rsidRPr="00121C83">
        <w:rPr>
          <w:rFonts w:eastAsia="Times New Roman"/>
          <w:b/>
          <w:i/>
          <w:kern w:val="0"/>
          <w:lang w:eastAsia="en-US"/>
        </w:rPr>
        <w:t>абонаментна техническа поддръжка</w:t>
      </w:r>
      <w:r w:rsidRPr="00121C83">
        <w:rPr>
          <w:rFonts w:eastAsia="Times New Roman"/>
          <w:b/>
          <w:kern w:val="0"/>
        </w:rPr>
        <w:t>“</w:t>
      </w:r>
      <w:r w:rsidRPr="00121C83">
        <w:rPr>
          <w:rFonts w:eastAsia="Times New Roman"/>
          <w:kern w:val="0"/>
        </w:rPr>
        <w:t xml:space="preserve"> за съответната обособена </w:t>
      </w:r>
      <w:r w:rsidRPr="001F3C24">
        <w:rPr>
          <w:rFonts w:eastAsia="Times New Roman"/>
          <w:kern w:val="0"/>
        </w:rPr>
        <w:t>позиция следва да е определена при пълно съответствие с условията на възложителя</w:t>
      </w:r>
      <w:r w:rsidR="001F3C24" w:rsidRPr="001F3C24">
        <w:rPr>
          <w:rFonts w:eastAsia="Times New Roman"/>
          <w:kern w:val="0"/>
          <w:lang w:eastAsia="en-US"/>
        </w:rPr>
        <w:t xml:space="preserve"> </w:t>
      </w:r>
      <w:r w:rsidR="001F3C24" w:rsidRPr="00121C83">
        <w:rPr>
          <w:rFonts w:eastAsia="Times New Roman"/>
          <w:kern w:val="0"/>
          <w:lang w:eastAsia="en-US"/>
        </w:rPr>
        <w:t>съгласно техническите спецификации на поръчката</w:t>
      </w:r>
      <w:r w:rsidR="001F3C24">
        <w:rPr>
          <w:rFonts w:eastAsia="Times New Roman"/>
          <w:kern w:val="0"/>
          <w:lang w:eastAsia="en-US"/>
        </w:rPr>
        <w:t xml:space="preserve"> и списъка на минимално съдържащи се видове </w:t>
      </w:r>
      <w:r w:rsidR="00AA53C5">
        <w:rPr>
          <w:rFonts w:eastAsia="Times New Roman"/>
          <w:kern w:val="0"/>
          <w:lang w:eastAsia="en-US"/>
        </w:rPr>
        <w:t>дейности</w:t>
      </w:r>
      <w:r w:rsidR="001F3C24">
        <w:rPr>
          <w:rFonts w:eastAsia="Times New Roman"/>
          <w:b/>
          <w:kern w:val="0"/>
        </w:rPr>
        <w:t xml:space="preserve">, </w:t>
      </w:r>
      <w:r w:rsidR="001F3C24" w:rsidRPr="001F3C24">
        <w:rPr>
          <w:rFonts w:eastAsia="Times New Roman"/>
          <w:kern w:val="0"/>
        </w:rPr>
        <w:t>а също и за</w:t>
      </w:r>
      <w:r w:rsidRPr="001F3C24">
        <w:rPr>
          <w:rFonts w:eastAsia="Times New Roman"/>
          <w:kern w:val="0"/>
        </w:rPr>
        <w:t xml:space="preserve"> максимално допустимата й стойност за същата обособена позиция</w:t>
      </w:r>
      <w:r w:rsidR="000741EC" w:rsidRPr="001F3C24">
        <w:rPr>
          <w:rFonts w:eastAsia="Times New Roman"/>
          <w:kern w:val="0"/>
        </w:rPr>
        <w:t>, както следва</w:t>
      </w:r>
      <w:r w:rsidR="000741EC">
        <w:rPr>
          <w:rFonts w:eastAsia="Times New Roman"/>
          <w:b/>
          <w:kern w:val="0"/>
        </w:rPr>
        <w:t>:</w:t>
      </w:r>
    </w:p>
    <w:p w14:paraId="71E70251" w14:textId="77777777" w:rsidR="000741EC" w:rsidRPr="000741EC" w:rsidRDefault="000741EC" w:rsidP="000741EC">
      <w:pPr>
        <w:spacing w:line="276" w:lineRule="auto"/>
        <w:jc w:val="both"/>
      </w:pPr>
      <w:r w:rsidRPr="000741EC">
        <w:t>- за обособена позиция № 1</w:t>
      </w:r>
      <w:r w:rsidRPr="000741EC">
        <w:tab/>
      </w:r>
      <w:r w:rsidR="0042343D">
        <w:t xml:space="preserve"> - </w:t>
      </w:r>
      <w:r w:rsidR="0042343D">
        <w:rPr>
          <w:b/>
        </w:rPr>
        <w:t>4166.55</w:t>
      </w:r>
      <w:r w:rsidRPr="000741EC">
        <w:rPr>
          <w:b/>
        </w:rPr>
        <w:t xml:space="preserve"> лева без ДДС</w:t>
      </w:r>
    </w:p>
    <w:p w14:paraId="4650CF18" w14:textId="77777777" w:rsidR="000741EC" w:rsidRPr="000741EC" w:rsidRDefault="000741EC" w:rsidP="000741EC">
      <w:pPr>
        <w:spacing w:line="276" w:lineRule="auto"/>
        <w:jc w:val="both"/>
        <w:rPr>
          <w:b/>
        </w:rPr>
      </w:pPr>
      <w:r w:rsidRPr="000741EC">
        <w:t>- за обособена позиция № 2</w:t>
      </w:r>
      <w:r w:rsidR="0042343D">
        <w:t>: -</w:t>
      </w:r>
      <w:r w:rsidRPr="000741EC">
        <w:rPr>
          <w:b/>
        </w:rPr>
        <w:t xml:space="preserve"> </w:t>
      </w:r>
      <w:r w:rsidR="0042343D">
        <w:rPr>
          <w:b/>
        </w:rPr>
        <w:t xml:space="preserve">41.16 </w:t>
      </w:r>
      <w:r w:rsidR="00F37F68">
        <w:rPr>
          <w:b/>
        </w:rPr>
        <w:t>лева без ДДС</w:t>
      </w:r>
    </w:p>
    <w:p w14:paraId="25259454" w14:textId="42824AFF" w:rsidR="000741EC" w:rsidRPr="000741EC" w:rsidRDefault="000741EC" w:rsidP="000741EC">
      <w:pPr>
        <w:spacing w:line="276" w:lineRule="auto"/>
        <w:jc w:val="both"/>
        <w:rPr>
          <w:b/>
        </w:rPr>
      </w:pPr>
      <w:r w:rsidRPr="000741EC">
        <w:t>- за обособена позиция №:</w:t>
      </w:r>
      <w:r w:rsidR="005D1ECC">
        <w:t xml:space="preserve"> </w:t>
      </w:r>
      <w:r w:rsidR="0081559F">
        <w:t>3</w:t>
      </w:r>
      <w:r w:rsidR="0042343D">
        <w:t xml:space="preserve"> </w:t>
      </w:r>
      <w:r w:rsidR="00090477">
        <w:t>-</w:t>
      </w:r>
      <w:r w:rsidR="0042343D">
        <w:t xml:space="preserve"> </w:t>
      </w:r>
      <w:r w:rsidR="0042343D" w:rsidRPr="0042343D">
        <w:rPr>
          <w:b/>
        </w:rPr>
        <w:t>104.16</w:t>
      </w:r>
      <w:r w:rsidRPr="0042343D">
        <w:rPr>
          <w:b/>
        </w:rPr>
        <w:t xml:space="preserve"> </w:t>
      </w:r>
      <w:r w:rsidR="00F37F68">
        <w:rPr>
          <w:b/>
        </w:rPr>
        <w:t>лева без ДДС</w:t>
      </w:r>
    </w:p>
    <w:p w14:paraId="2DB80E5E" w14:textId="77777777" w:rsidR="000741EC" w:rsidRPr="000741EC" w:rsidRDefault="000741EC" w:rsidP="000741EC">
      <w:pPr>
        <w:spacing w:line="276" w:lineRule="auto"/>
        <w:jc w:val="both"/>
        <w:rPr>
          <w:b/>
        </w:rPr>
      </w:pPr>
      <w:r w:rsidRPr="000741EC">
        <w:t>- за обособена позиция №</w:t>
      </w:r>
      <w:r w:rsidR="0081559F">
        <w:t>4</w:t>
      </w:r>
      <w:r w:rsidR="0044534F">
        <w:t xml:space="preserve">: </w:t>
      </w:r>
      <w:r w:rsidR="00090477">
        <w:t xml:space="preserve">- </w:t>
      </w:r>
      <w:r w:rsidR="0044534F" w:rsidRPr="0044534F">
        <w:rPr>
          <w:b/>
        </w:rPr>
        <w:t xml:space="preserve">104.16 </w:t>
      </w:r>
      <w:r w:rsidR="00F37F68">
        <w:rPr>
          <w:b/>
        </w:rPr>
        <w:t>лева без ДДС</w:t>
      </w:r>
    </w:p>
    <w:p w14:paraId="090BFA4D" w14:textId="77777777" w:rsidR="000741EC" w:rsidRDefault="000741EC" w:rsidP="000741EC">
      <w:pPr>
        <w:spacing w:line="276" w:lineRule="auto"/>
        <w:jc w:val="both"/>
        <w:rPr>
          <w:b/>
        </w:rPr>
      </w:pPr>
      <w:r w:rsidRPr="000741EC">
        <w:t>- за обособена позиция № 5:</w:t>
      </w:r>
      <w:r w:rsidRPr="0044534F">
        <w:rPr>
          <w:b/>
        </w:rPr>
        <w:t xml:space="preserve"> </w:t>
      </w:r>
      <w:r w:rsidR="00090477">
        <w:rPr>
          <w:b/>
        </w:rPr>
        <w:t xml:space="preserve">- </w:t>
      </w:r>
      <w:r w:rsidR="0044534F" w:rsidRPr="0044534F">
        <w:rPr>
          <w:b/>
        </w:rPr>
        <w:t>45</w:t>
      </w:r>
      <w:r w:rsidR="0044534F">
        <w:t xml:space="preserve"> </w:t>
      </w:r>
      <w:r w:rsidR="00F37F68">
        <w:rPr>
          <w:b/>
        </w:rPr>
        <w:t>лева без ДДС</w:t>
      </w:r>
    </w:p>
    <w:p w14:paraId="2B8E20C2" w14:textId="77777777" w:rsidR="00121C83" w:rsidRPr="00121C83" w:rsidRDefault="00121C83" w:rsidP="007F390A">
      <w:pPr>
        <w:widowControl/>
        <w:overflowPunct/>
        <w:adjustRightInd/>
        <w:spacing w:line="276" w:lineRule="auto"/>
        <w:jc w:val="both"/>
        <w:rPr>
          <w:rFonts w:eastAsia="Times New Roman"/>
          <w:kern w:val="0"/>
          <w:lang w:eastAsia="en-US"/>
        </w:rPr>
      </w:pPr>
    </w:p>
    <w:p w14:paraId="068B8294" w14:textId="5299437A" w:rsidR="00121C83" w:rsidRPr="00121C83" w:rsidRDefault="00121C83" w:rsidP="00121C83">
      <w:pPr>
        <w:widowControl/>
        <w:overflowPunct/>
        <w:adjustRightInd/>
        <w:spacing w:line="276" w:lineRule="auto"/>
        <w:ind w:firstLine="720"/>
        <w:jc w:val="both"/>
        <w:rPr>
          <w:rFonts w:eastAsia="Times New Roman"/>
          <w:kern w:val="0"/>
          <w:lang w:eastAsia="en-US"/>
        </w:rPr>
      </w:pPr>
      <w:r w:rsidRPr="00121C83">
        <w:rPr>
          <w:rFonts w:eastAsia="Times New Roman"/>
          <w:b/>
          <w:kern w:val="0"/>
          <w:lang w:eastAsia="en-US"/>
        </w:rPr>
        <w:lastRenderedPageBreak/>
        <w:t>На първо място за съответната обособена позиция ще бъде класиран участникът</w:t>
      </w:r>
      <w:r w:rsidRPr="00121C83">
        <w:rPr>
          <w:rFonts w:eastAsia="Times New Roman"/>
          <w:kern w:val="0"/>
          <w:lang w:eastAsia="en-US"/>
        </w:rPr>
        <w:t xml:space="preserve">, </w:t>
      </w:r>
      <w:r w:rsidR="005D1ECC">
        <w:rPr>
          <w:rFonts w:eastAsia="Times New Roman"/>
          <w:b/>
          <w:i/>
          <w:kern w:val="0"/>
          <w:lang w:eastAsia="en-US"/>
        </w:rPr>
        <w:t>получил най-много точки, съгласно</w:t>
      </w:r>
      <w:r w:rsidR="004B631B">
        <w:rPr>
          <w:rFonts w:eastAsia="Times New Roman"/>
          <w:b/>
          <w:i/>
          <w:kern w:val="0"/>
          <w:lang w:eastAsia="en-US"/>
        </w:rPr>
        <w:t xml:space="preserve"> приложена</w:t>
      </w:r>
      <w:r w:rsidR="00D133F4">
        <w:rPr>
          <w:rFonts w:eastAsia="Times New Roman"/>
          <w:b/>
          <w:i/>
          <w:kern w:val="0"/>
          <w:lang w:eastAsia="en-US"/>
        </w:rPr>
        <w:t>та</w:t>
      </w:r>
      <w:r w:rsidR="004B631B">
        <w:rPr>
          <w:rFonts w:eastAsia="Times New Roman"/>
          <w:b/>
          <w:i/>
          <w:kern w:val="0"/>
          <w:lang w:eastAsia="en-US"/>
        </w:rPr>
        <w:t xml:space="preserve"> в документацията методика</w:t>
      </w:r>
      <w:r w:rsidRPr="00121C83">
        <w:rPr>
          <w:rFonts w:eastAsia="Times New Roman"/>
          <w:kern w:val="0"/>
          <w:lang w:eastAsia="en-US"/>
        </w:rPr>
        <w:t>.</w:t>
      </w:r>
    </w:p>
    <w:p w14:paraId="311D21E9" w14:textId="77777777" w:rsidR="00DB4FCC" w:rsidRDefault="00121C83" w:rsidP="00843ACB">
      <w:pPr>
        <w:widowControl/>
        <w:overflowPunct/>
        <w:adjustRightInd/>
        <w:spacing w:line="276" w:lineRule="auto"/>
        <w:ind w:firstLine="720"/>
        <w:jc w:val="both"/>
        <w:rPr>
          <w:rFonts w:eastAsia="Times New Roman"/>
          <w:b/>
          <w:kern w:val="0"/>
          <w:lang w:eastAsia="en-US"/>
        </w:rPr>
      </w:pPr>
      <w:r w:rsidRPr="00121C83">
        <w:rPr>
          <w:rFonts w:eastAsia="Times New Roman"/>
          <w:kern w:val="0"/>
          <w:lang w:eastAsia="en-US"/>
        </w:rPr>
        <w:t xml:space="preserve">Ценовото предложение </w:t>
      </w:r>
      <w:r w:rsidRPr="00121C83">
        <w:rPr>
          <w:rFonts w:eastAsia="Times New Roman"/>
          <w:kern w:val="0"/>
          <w:u w:val="single"/>
          <w:lang w:eastAsia="en-US"/>
        </w:rPr>
        <w:t>за всяка обособена позиция</w:t>
      </w:r>
      <w:r w:rsidRPr="00121C83">
        <w:rPr>
          <w:rFonts w:eastAsia="Times New Roman"/>
          <w:kern w:val="0"/>
          <w:lang w:eastAsia="en-US"/>
        </w:rPr>
        <w:t xml:space="preserve"> следва да обхваща </w:t>
      </w:r>
      <w:r w:rsidRPr="00121C83">
        <w:rPr>
          <w:rFonts w:eastAsia="Times New Roman"/>
          <w:kern w:val="0"/>
          <w:u w:val="single"/>
          <w:lang w:eastAsia="en-US"/>
        </w:rPr>
        <w:t>всички</w:t>
      </w:r>
      <w:r w:rsidRPr="00121C83">
        <w:rPr>
          <w:rFonts w:eastAsia="Times New Roman"/>
          <w:kern w:val="0"/>
          <w:lang w:eastAsia="en-US"/>
        </w:rPr>
        <w:t xml:space="preserve"> асансьор</w:t>
      </w:r>
      <w:r w:rsidR="001429E4">
        <w:rPr>
          <w:rFonts w:eastAsia="Times New Roman"/>
          <w:kern w:val="0"/>
          <w:lang w:eastAsia="en-US"/>
        </w:rPr>
        <w:t>н</w:t>
      </w:r>
      <w:r w:rsidRPr="00121C83">
        <w:rPr>
          <w:rFonts w:eastAsia="Times New Roman"/>
          <w:kern w:val="0"/>
          <w:lang w:eastAsia="en-US"/>
        </w:rPr>
        <w:t>и</w:t>
      </w:r>
      <w:r w:rsidR="001429E4">
        <w:rPr>
          <w:rFonts w:eastAsia="Times New Roman"/>
          <w:kern w:val="0"/>
          <w:lang w:eastAsia="en-US"/>
        </w:rPr>
        <w:t xml:space="preserve"> уредби и съоръжения</w:t>
      </w:r>
      <w:r w:rsidRPr="00121C83">
        <w:rPr>
          <w:rFonts w:eastAsia="Times New Roman"/>
          <w:kern w:val="0"/>
          <w:lang w:eastAsia="en-US"/>
        </w:rPr>
        <w:t>, посочени в техническата спецификация към съответнат</w:t>
      </w:r>
      <w:r w:rsidR="003F0A05">
        <w:rPr>
          <w:rFonts w:eastAsia="Times New Roman"/>
          <w:kern w:val="0"/>
          <w:lang w:eastAsia="en-US"/>
        </w:rPr>
        <w:t>а обособена позици</w:t>
      </w:r>
      <w:r w:rsidR="003F0A05" w:rsidRPr="001429E4">
        <w:rPr>
          <w:rFonts w:eastAsia="Times New Roman"/>
          <w:kern w:val="0"/>
          <w:lang w:eastAsia="en-US"/>
        </w:rPr>
        <w:t>я</w:t>
      </w:r>
      <w:r w:rsidRPr="001429E4">
        <w:rPr>
          <w:rFonts w:eastAsia="Times New Roman"/>
          <w:kern w:val="0"/>
          <w:lang w:eastAsia="en-US"/>
        </w:rPr>
        <w:t>.</w:t>
      </w:r>
      <w:r w:rsidRPr="00121C83">
        <w:rPr>
          <w:rFonts w:eastAsia="Times New Roman"/>
          <w:b/>
          <w:kern w:val="0"/>
          <w:lang w:eastAsia="en-US"/>
        </w:rPr>
        <w:t xml:space="preserve"> </w:t>
      </w:r>
    </w:p>
    <w:p w14:paraId="45AABFAF" w14:textId="5FA529EF" w:rsidR="00121C83" w:rsidRPr="00843ACB" w:rsidRDefault="00121C83" w:rsidP="00843ACB">
      <w:pPr>
        <w:widowControl/>
        <w:overflowPunct/>
        <w:adjustRightInd/>
        <w:spacing w:line="276" w:lineRule="auto"/>
        <w:ind w:firstLine="720"/>
        <w:jc w:val="both"/>
        <w:rPr>
          <w:rFonts w:eastAsia="Times New Roman"/>
          <w:b/>
          <w:kern w:val="0"/>
          <w:lang w:eastAsia="en-US"/>
        </w:rPr>
      </w:pPr>
      <w:r w:rsidRPr="00121C83">
        <w:rPr>
          <w:rFonts w:eastAsia="Times New Roman"/>
          <w:b/>
          <w:kern w:val="0"/>
          <w:lang w:eastAsia="en-US"/>
        </w:rPr>
        <w:t xml:space="preserve">Не се допуска </w:t>
      </w:r>
      <w:r w:rsidR="00EB798B" w:rsidRPr="00121C83">
        <w:rPr>
          <w:rFonts w:eastAsia="Times New Roman"/>
          <w:b/>
          <w:kern w:val="0"/>
          <w:lang w:eastAsia="en-US"/>
        </w:rPr>
        <w:t>участ</w:t>
      </w:r>
      <w:r w:rsidR="00EB798B">
        <w:rPr>
          <w:rFonts w:eastAsia="Times New Roman"/>
          <w:b/>
          <w:kern w:val="0"/>
          <w:lang w:eastAsia="en-US"/>
        </w:rPr>
        <w:t>ие</w:t>
      </w:r>
      <w:r w:rsidR="00EB798B" w:rsidRPr="00121C83">
        <w:rPr>
          <w:rFonts w:eastAsia="Times New Roman"/>
          <w:b/>
          <w:kern w:val="0"/>
          <w:lang w:eastAsia="en-US"/>
        </w:rPr>
        <w:t xml:space="preserve"> </w:t>
      </w:r>
      <w:r w:rsidRPr="00121C83">
        <w:rPr>
          <w:rFonts w:eastAsia="Times New Roman"/>
          <w:b/>
          <w:kern w:val="0"/>
          <w:lang w:eastAsia="en-US"/>
        </w:rPr>
        <w:t>за отделни асансьор</w:t>
      </w:r>
      <w:r w:rsidR="00770845">
        <w:rPr>
          <w:rFonts w:eastAsia="Times New Roman"/>
          <w:b/>
          <w:kern w:val="0"/>
          <w:lang w:eastAsia="en-US"/>
        </w:rPr>
        <w:t>н</w:t>
      </w:r>
      <w:r w:rsidRPr="00121C83">
        <w:rPr>
          <w:rFonts w:eastAsia="Times New Roman"/>
          <w:b/>
          <w:kern w:val="0"/>
          <w:lang w:eastAsia="en-US"/>
        </w:rPr>
        <w:t>и</w:t>
      </w:r>
      <w:r w:rsidR="00770845">
        <w:rPr>
          <w:rFonts w:eastAsia="Times New Roman"/>
          <w:b/>
          <w:kern w:val="0"/>
          <w:lang w:eastAsia="en-US"/>
        </w:rPr>
        <w:t xml:space="preserve"> уредби и</w:t>
      </w:r>
      <w:r w:rsidR="00EB798B">
        <w:rPr>
          <w:rFonts w:eastAsia="Times New Roman"/>
          <w:b/>
          <w:kern w:val="0"/>
          <w:lang w:eastAsia="en-US"/>
        </w:rPr>
        <w:t>ли</w:t>
      </w:r>
      <w:r w:rsidR="00770845">
        <w:rPr>
          <w:rFonts w:eastAsia="Times New Roman"/>
          <w:b/>
          <w:kern w:val="0"/>
          <w:lang w:eastAsia="en-US"/>
        </w:rPr>
        <w:t xml:space="preserve"> съоръжения</w:t>
      </w:r>
      <w:r w:rsidRPr="00121C83">
        <w:rPr>
          <w:rFonts w:eastAsia="Times New Roman"/>
          <w:b/>
          <w:kern w:val="0"/>
          <w:lang w:eastAsia="en-US"/>
        </w:rPr>
        <w:t xml:space="preserve"> от техническата спецификация към обособени</w:t>
      </w:r>
      <w:r w:rsidR="003F0A05">
        <w:rPr>
          <w:rFonts w:eastAsia="Times New Roman"/>
          <w:b/>
          <w:kern w:val="0"/>
          <w:lang w:eastAsia="en-US"/>
        </w:rPr>
        <w:t>те позиции</w:t>
      </w:r>
      <w:r w:rsidRPr="00121C83">
        <w:rPr>
          <w:rFonts w:eastAsia="Times New Roman"/>
          <w:b/>
          <w:kern w:val="0"/>
          <w:lang w:eastAsia="en-US"/>
        </w:rPr>
        <w:t>.</w:t>
      </w:r>
    </w:p>
    <w:p w14:paraId="428886D3" w14:textId="77777777" w:rsidR="00E01B28" w:rsidRPr="005E02DA" w:rsidRDefault="00E01B28" w:rsidP="00E01B28">
      <w:pPr>
        <w:spacing w:line="276" w:lineRule="auto"/>
        <w:ind w:firstLine="709"/>
        <w:jc w:val="both"/>
        <w:textAlignment w:val="center"/>
        <w:rPr>
          <w:b/>
        </w:rPr>
      </w:pPr>
      <w:r w:rsidRPr="005E02DA">
        <w:t xml:space="preserve">Ценовото предложение се изготвя и представя в съответствие с приложения към документацията образец за съответната обособена позиция в отделен запечатан, непрозрачен </w:t>
      </w:r>
      <w:r w:rsidRPr="005E02DA">
        <w:rPr>
          <w:b/>
        </w:rPr>
        <w:t>плик с надпис:</w:t>
      </w:r>
      <w:r w:rsidRPr="005E02DA">
        <w:t xml:space="preserve"> </w:t>
      </w:r>
      <w:r w:rsidRPr="005E02DA">
        <w:rPr>
          <w:b/>
        </w:rPr>
        <w:t>„Предлагани ценови параметри по обособена позиция №……”</w:t>
      </w:r>
      <w:r w:rsidRPr="005E02DA">
        <w:t xml:space="preserve"> (</w:t>
      </w:r>
      <w:r w:rsidRPr="007F390A">
        <w:rPr>
          <w:u w:val="single"/>
        </w:rPr>
        <w:t>посочва се номера на обособената позиция</w:t>
      </w:r>
      <w:r w:rsidRPr="005E02DA">
        <w:t xml:space="preserve">), съгласно чл. 47, ал. 3 от ППЗОП. </w:t>
      </w:r>
      <w:r w:rsidRPr="00A3433B">
        <w:rPr>
          <w:b/>
          <w:u w:val="single"/>
        </w:rPr>
        <w:t>Предлаганата от участника цена не трябва да се съдържа или посочва в друг от документите, приложени към офертата, освен в ценовото предложение</w:t>
      </w:r>
      <w:r w:rsidRPr="005E02DA">
        <w:rPr>
          <w:b/>
        </w:rPr>
        <w:t>.</w:t>
      </w:r>
    </w:p>
    <w:p w14:paraId="0AA915DC" w14:textId="77777777" w:rsidR="00E01B28" w:rsidRPr="005E02DA" w:rsidRDefault="00E01B28" w:rsidP="007F390A">
      <w:pPr>
        <w:spacing w:line="276" w:lineRule="auto"/>
        <w:ind w:firstLine="708"/>
        <w:jc w:val="both"/>
        <w:outlineLvl w:val="0"/>
        <w:rPr>
          <w:b/>
          <w:lang w:val="ru-RU"/>
        </w:rPr>
      </w:pPr>
      <w:r w:rsidRPr="005E02DA">
        <w:t xml:space="preserve">Предложените цени са обвързващи за целия срок на изпълнение на поръчката. </w:t>
      </w:r>
    </w:p>
    <w:p w14:paraId="13B85E29" w14:textId="77777777" w:rsidR="00E01B28" w:rsidRPr="005E02DA" w:rsidRDefault="00E01B28" w:rsidP="00E01B28">
      <w:pPr>
        <w:spacing w:line="276" w:lineRule="auto"/>
        <w:ind w:firstLine="709"/>
        <w:jc w:val="both"/>
        <w:rPr>
          <w:lang w:val="en-US"/>
        </w:rPr>
      </w:pPr>
      <w:r w:rsidRPr="005E02DA">
        <w:rPr>
          <w:lang w:val="ru-RU"/>
        </w:rPr>
        <w:t>Ценовото предложение се попълва четливо и без зачерквания.</w:t>
      </w:r>
      <w:r w:rsidRPr="005E02DA">
        <w:rPr>
          <w:lang w:val="en-US"/>
        </w:rPr>
        <w:t xml:space="preserve"> </w:t>
      </w:r>
    </w:p>
    <w:p w14:paraId="2300F814" w14:textId="77777777" w:rsidR="00E01B28" w:rsidRPr="005E02DA" w:rsidRDefault="00E01B28" w:rsidP="00E01B28">
      <w:pPr>
        <w:spacing w:line="276" w:lineRule="auto"/>
        <w:ind w:firstLine="709"/>
        <w:jc w:val="both"/>
        <w:rPr>
          <w:lang w:val="ru-RU"/>
        </w:rPr>
      </w:pPr>
      <w:r w:rsidRPr="005E02DA">
        <w:rPr>
          <w:lang w:val="ru-RU"/>
        </w:rPr>
        <w:t>Предлаган</w:t>
      </w:r>
      <w:r w:rsidR="00281C3E">
        <w:rPr>
          <w:lang w:val="ru-RU"/>
        </w:rPr>
        <w:t>и</w:t>
      </w:r>
      <w:r w:rsidRPr="005E02DA">
        <w:rPr>
          <w:lang w:val="ru-RU"/>
        </w:rPr>
        <w:t>т</w:t>
      </w:r>
      <w:r w:rsidR="00281C3E">
        <w:rPr>
          <w:lang w:val="ru-RU"/>
        </w:rPr>
        <w:t>е</w:t>
      </w:r>
      <w:r w:rsidRPr="005E02DA">
        <w:rPr>
          <w:lang w:val="ru-RU"/>
        </w:rPr>
        <w:t xml:space="preserve"> </w:t>
      </w:r>
      <w:r w:rsidR="00281C3E">
        <w:rPr>
          <w:lang w:val="ru-RU"/>
        </w:rPr>
        <w:t>ц</w:t>
      </w:r>
      <w:proofErr w:type="spellStart"/>
      <w:r w:rsidR="00281C3E" w:rsidRPr="003240D1">
        <w:rPr>
          <w:rFonts w:eastAsia="Times New Roman"/>
        </w:rPr>
        <w:t>ени</w:t>
      </w:r>
      <w:proofErr w:type="spellEnd"/>
      <w:r w:rsidR="00281C3E" w:rsidRPr="003240D1">
        <w:rPr>
          <w:rFonts w:eastAsia="Times New Roman"/>
        </w:rPr>
        <w:t xml:space="preserve"> се посочва</w:t>
      </w:r>
      <w:r w:rsidR="00A81725">
        <w:rPr>
          <w:rFonts w:eastAsia="Times New Roman"/>
        </w:rPr>
        <w:t>т в лева, закръглени до втори знак след десетичната запетая</w:t>
      </w:r>
      <w:r w:rsidR="00281C3E">
        <w:rPr>
          <w:rFonts w:eastAsia="Times New Roman"/>
        </w:rPr>
        <w:t>.</w:t>
      </w:r>
    </w:p>
    <w:p w14:paraId="7739DF0B" w14:textId="77777777" w:rsidR="00E01B28" w:rsidRPr="00223574" w:rsidRDefault="00E01B28" w:rsidP="00E01B28">
      <w:pPr>
        <w:pStyle w:val="style1"/>
        <w:spacing w:line="276" w:lineRule="auto"/>
        <w:ind w:firstLine="709"/>
        <w:jc w:val="both"/>
        <w:rPr>
          <w:sz w:val="24"/>
          <w:szCs w:val="24"/>
        </w:rPr>
      </w:pPr>
      <w:r w:rsidRPr="00223574">
        <w:rPr>
          <w:sz w:val="24"/>
          <w:szCs w:val="24"/>
        </w:rPr>
        <w:t>Участник, представил Ценово предложение, съдържащо ценови параметър, който надхвърля максимално допустима стойност за съответната обособена позиция се отстранява от участие в процедурата.</w:t>
      </w:r>
    </w:p>
    <w:p w14:paraId="022EA9A7" w14:textId="77777777" w:rsidR="00E01B28" w:rsidRPr="005E02DA" w:rsidRDefault="00E01B28" w:rsidP="00E01B28">
      <w:pPr>
        <w:tabs>
          <w:tab w:val="left" w:pos="567"/>
        </w:tabs>
        <w:spacing w:line="276" w:lineRule="auto"/>
        <w:ind w:firstLine="709"/>
        <w:rPr>
          <w:b/>
        </w:rPr>
      </w:pPr>
      <w:r w:rsidRPr="005E02DA">
        <w:rPr>
          <w:b/>
        </w:rPr>
        <w:t xml:space="preserve">Забележки: </w:t>
      </w:r>
    </w:p>
    <w:p w14:paraId="532F1A7F" w14:textId="77777777" w:rsidR="00E01B28" w:rsidRPr="007F390A" w:rsidRDefault="00EA6B6E" w:rsidP="00E01B28">
      <w:pPr>
        <w:tabs>
          <w:tab w:val="left" w:pos="567"/>
        </w:tabs>
        <w:spacing w:line="276" w:lineRule="auto"/>
        <w:ind w:firstLine="709"/>
        <w:jc w:val="both"/>
      </w:pPr>
      <w:r>
        <w:t>1</w:t>
      </w:r>
      <w:r w:rsidR="00E01B28" w:rsidRPr="007F390A">
        <w:t xml:space="preserve">. Всички копия на документи, съдържащи се в офертата, следва да бъдат заверени. Заверено от участника копие на документ означава: документът да е заверен с гриф “Вярно с оригинала” и да съдържа подпис на заверяващото го лице. </w:t>
      </w:r>
    </w:p>
    <w:p w14:paraId="51186822" w14:textId="77777777" w:rsidR="00E01B28" w:rsidRPr="005E02DA" w:rsidRDefault="00EA6B6E" w:rsidP="00E01B28">
      <w:pPr>
        <w:spacing w:line="276" w:lineRule="auto"/>
        <w:ind w:firstLine="709"/>
        <w:jc w:val="both"/>
      </w:pPr>
      <w:r>
        <w:t>2</w:t>
      </w:r>
      <w:r w:rsidR="00E01B28" w:rsidRPr="005E02DA">
        <w:t xml:space="preserve">. </w:t>
      </w:r>
      <w:r w:rsidR="00E01B28" w:rsidRPr="005E02DA">
        <w:rPr>
          <w:lang w:val="ru-RU"/>
        </w:rPr>
        <w:t xml:space="preserve">В случай, че се участва за повече от една обособена позиция, </w:t>
      </w:r>
      <w:r w:rsidR="00E01B28" w:rsidRPr="005E02DA">
        <w:t xml:space="preserve">образецът „Ценово предложение“ за обособена позиция №… </w:t>
      </w:r>
      <w:r w:rsidR="00E01B28" w:rsidRPr="005E02DA">
        <w:rPr>
          <w:lang w:val="ru-RU"/>
        </w:rPr>
        <w:t xml:space="preserve"> се попълва отделно за всяка от обособените позиции</w:t>
      </w:r>
      <w:r w:rsidR="00E01B28" w:rsidRPr="005E02DA">
        <w:rPr>
          <w:i/>
          <w:lang w:val="ru-RU"/>
        </w:rPr>
        <w:t xml:space="preserve">, </w:t>
      </w:r>
      <w:r w:rsidR="00E01B28" w:rsidRPr="005E02DA">
        <w:rPr>
          <w:lang w:val="ru-RU"/>
        </w:rPr>
        <w:t>като всяко Ценово предложение се поставя в отделен запечатан и непрозрачен плик, който се надписва както следва</w:t>
      </w:r>
      <w:r w:rsidR="00E01B28" w:rsidRPr="005E02DA">
        <w:rPr>
          <w:i/>
          <w:lang w:val="ru-RU"/>
        </w:rPr>
        <w:t xml:space="preserve">: </w:t>
      </w:r>
      <w:r w:rsidR="00E01B28" w:rsidRPr="005E02DA">
        <w:t xml:space="preserve">„Предлагани ценови параметри” за обособена позиция №…..“.  </w:t>
      </w:r>
    </w:p>
    <w:p w14:paraId="305FC3B5" w14:textId="77777777" w:rsidR="00E01B28" w:rsidRPr="005E02DA" w:rsidRDefault="00E01B28" w:rsidP="00E01B28">
      <w:pPr>
        <w:tabs>
          <w:tab w:val="left" w:pos="284"/>
        </w:tabs>
        <w:spacing w:line="276" w:lineRule="auto"/>
        <w:ind w:left="284" w:firstLine="709"/>
        <w:jc w:val="both"/>
      </w:pPr>
    </w:p>
    <w:p w14:paraId="64E3CB0C" w14:textId="77777777" w:rsidR="00E01B28" w:rsidRPr="005E02DA" w:rsidRDefault="00E01B28" w:rsidP="00E01B28">
      <w:pPr>
        <w:spacing w:line="276" w:lineRule="auto"/>
        <w:ind w:firstLine="709"/>
        <w:jc w:val="both"/>
        <w:rPr>
          <w:b/>
          <w:bCs/>
          <w:caps/>
        </w:rPr>
      </w:pPr>
      <w:r w:rsidRPr="005E02DA">
        <w:rPr>
          <w:b/>
          <w:bCs/>
          <w:caps/>
        </w:rPr>
        <w:tab/>
        <w:t>IV. Представяне на офертите:</w:t>
      </w:r>
    </w:p>
    <w:p w14:paraId="11F17277" w14:textId="77777777" w:rsidR="00E01B28" w:rsidRPr="005E02DA" w:rsidRDefault="00E01B28" w:rsidP="00E01B28">
      <w:pPr>
        <w:tabs>
          <w:tab w:val="left" w:pos="284"/>
        </w:tabs>
        <w:spacing w:line="276" w:lineRule="auto"/>
        <w:ind w:left="284" w:firstLine="709"/>
        <w:jc w:val="both"/>
      </w:pPr>
    </w:p>
    <w:p w14:paraId="76C0F04E" w14:textId="5CBE7B68" w:rsidR="00E01B28" w:rsidRPr="005E02DA" w:rsidRDefault="00E01B28" w:rsidP="00077BFB">
      <w:pPr>
        <w:spacing w:line="276" w:lineRule="auto"/>
        <w:ind w:firstLine="709"/>
        <w:jc w:val="both"/>
        <w:rPr>
          <w:b/>
          <w:bCs/>
        </w:rPr>
      </w:pPr>
      <w:r w:rsidRPr="005E02DA">
        <w:rPr>
          <w:b/>
          <w:bCs/>
        </w:rPr>
        <w:t xml:space="preserve">Всяка една оферта следва да съдържа всички документи, посочени в документацията за поръчката. </w:t>
      </w:r>
    </w:p>
    <w:p w14:paraId="62CFDF90" w14:textId="77777777" w:rsidR="00E01B28" w:rsidRPr="005E02DA" w:rsidRDefault="00E01B28" w:rsidP="00F1665A">
      <w:pPr>
        <w:spacing w:line="276" w:lineRule="auto"/>
        <w:ind w:firstLine="709"/>
        <w:jc w:val="both"/>
      </w:pPr>
      <w:r w:rsidRPr="005E02DA">
        <w:rPr>
          <w:b/>
        </w:rPr>
        <w:t xml:space="preserve">1. </w:t>
      </w:r>
      <w:r w:rsidRPr="005E02DA">
        <w:t xml:space="preserve">Документите в офертата за участие се представят </w:t>
      </w:r>
      <w:r w:rsidRPr="005E02DA">
        <w:rPr>
          <w:b/>
        </w:rPr>
        <w:t xml:space="preserve">в запечатана непрозрачна опаковка от участника или негов упълномощен представител. </w:t>
      </w:r>
      <w:r w:rsidRPr="00F80CEA">
        <w:t>Върху опаковката участникът посочва:</w:t>
      </w:r>
      <w:r w:rsidRPr="005E02DA">
        <w:t xml:space="preserve"> наименование на участника, включително участниците в обединението, когато е приложимо</w:t>
      </w:r>
      <w:r w:rsidR="007F390A">
        <w:t>,</w:t>
      </w:r>
      <w:r w:rsidRPr="005E02DA">
        <w:t xml:space="preserve"> адрес за кореспонденция, телефон и по възможност факс и електронен адрес; и наименованието на поръчката и </w:t>
      </w:r>
      <w:r w:rsidR="00AE22A0" w:rsidRPr="00AE22A0">
        <w:rPr>
          <w:u w:val="single"/>
        </w:rPr>
        <w:t xml:space="preserve">№ на </w:t>
      </w:r>
      <w:r w:rsidRPr="00AE22A0">
        <w:rPr>
          <w:u w:val="single"/>
        </w:rPr>
        <w:t>обособената позиция</w:t>
      </w:r>
      <w:r w:rsidRPr="005E02DA">
        <w:t>, за която се подават документите. Опаковката с</w:t>
      </w:r>
      <w:r w:rsidR="00F1665A">
        <w:t xml:space="preserve"> документите за участие съдържа д</w:t>
      </w:r>
      <w:r w:rsidRPr="005E02DA">
        <w:t>окументите, изисквани от възложителя, съгласно обявлението и доку</w:t>
      </w:r>
      <w:r w:rsidR="00F1665A">
        <w:t>ментация за поръчката</w:t>
      </w:r>
      <w:r w:rsidRPr="005E02DA">
        <w:t xml:space="preserve">. </w:t>
      </w:r>
    </w:p>
    <w:p w14:paraId="08908CB9" w14:textId="77777777" w:rsidR="000E2A73" w:rsidRDefault="00E01B28" w:rsidP="00E01B28">
      <w:pPr>
        <w:spacing w:line="276" w:lineRule="auto"/>
        <w:ind w:firstLine="709"/>
        <w:jc w:val="both"/>
      </w:pPr>
      <w:r w:rsidRPr="005E02DA">
        <w:rPr>
          <w:b/>
        </w:rPr>
        <w:t>2.</w:t>
      </w:r>
      <w:r w:rsidRPr="005E02DA">
        <w:t xml:space="preserve"> Офертите могат да бъдат представени чрез пощенска или друга куриерска </w:t>
      </w:r>
      <w:r w:rsidRPr="005E02DA">
        <w:lastRenderedPageBreak/>
        <w:t xml:space="preserve">услуга с препоръчана пратка с обратна разписка. Оферти, подадени по този начин, следва да бъдат получени при възложителя в срока, определен за получаване на офертите, посочен в обявлението за поръчка. </w:t>
      </w:r>
    </w:p>
    <w:p w14:paraId="2C7351D3" w14:textId="09939A55" w:rsidR="00E01B28" w:rsidRPr="005E02DA" w:rsidRDefault="00E01B28" w:rsidP="00E01B28">
      <w:pPr>
        <w:spacing w:line="276" w:lineRule="auto"/>
        <w:ind w:firstLine="709"/>
        <w:jc w:val="both"/>
      </w:pPr>
      <w:r w:rsidRPr="005E02DA">
        <w:rPr>
          <w:b/>
        </w:rPr>
        <w:t xml:space="preserve">3. </w:t>
      </w:r>
      <w:r w:rsidRPr="005E02DA">
        <w:t>Офертит</w:t>
      </w:r>
      <w:r w:rsidR="00D24B39">
        <w:t>е се подават в</w:t>
      </w:r>
      <w:r w:rsidRPr="005E02DA">
        <w:t xml:space="preserve"> сграда</w:t>
      </w:r>
      <w:r w:rsidR="00D24B39">
        <w:t xml:space="preserve">та на </w:t>
      </w:r>
      <w:r w:rsidRPr="005E02DA">
        <w:t xml:space="preserve"> </w:t>
      </w:r>
      <w:r w:rsidR="004A4309">
        <w:t>БНБ</w:t>
      </w:r>
      <w:r w:rsidR="00D118AC">
        <w:t xml:space="preserve"> - Централно управление</w:t>
      </w:r>
      <w:r w:rsidR="003E0F51">
        <w:t>, адрес:</w:t>
      </w:r>
      <w:r w:rsidR="006B6207" w:rsidRPr="006B6207">
        <w:t>1000 София, пл. ,,Княз Александър I” № 1</w:t>
      </w:r>
      <w:r w:rsidR="00A45AA5">
        <w:t>, гише</w:t>
      </w:r>
      <w:r w:rsidR="00644DC2" w:rsidRPr="006B6207">
        <w:t xml:space="preserve"> </w:t>
      </w:r>
      <w:r w:rsidR="00A45AA5" w:rsidRPr="00D343FA">
        <w:rPr>
          <w:rFonts w:eastAsia="Times New Roman"/>
        </w:rPr>
        <w:t>№ 54 в Паричния салон на БНБ</w:t>
      </w:r>
      <w:r w:rsidR="00A45AA5" w:rsidRPr="005E02DA">
        <w:t>.</w:t>
      </w:r>
      <w:r w:rsidR="00644DC2" w:rsidRPr="006B6207">
        <w:t xml:space="preserve"> </w:t>
      </w:r>
      <w:r w:rsidR="00D24B39">
        <w:t>в работ</w:t>
      </w:r>
      <w:r w:rsidRPr="00AE5460">
        <w:t>н</w:t>
      </w:r>
      <w:r w:rsidR="00D24B39">
        <w:t>и д</w:t>
      </w:r>
      <w:r w:rsidRPr="00AE5460">
        <w:t>н</w:t>
      </w:r>
      <w:r w:rsidR="00D24B39">
        <w:t>и</w:t>
      </w:r>
      <w:r w:rsidRPr="00AE5460">
        <w:t xml:space="preserve"> </w:t>
      </w:r>
      <w:r w:rsidRPr="003E5402">
        <w:t>от 0</w:t>
      </w:r>
      <w:r w:rsidR="00093ACA" w:rsidRPr="003E5402">
        <w:t>8.30 часа</w:t>
      </w:r>
      <w:r w:rsidR="00093ACA" w:rsidRPr="00AE5460">
        <w:t xml:space="preserve"> до 15</w:t>
      </w:r>
      <w:r w:rsidRPr="00AE5460">
        <w:t>.</w:t>
      </w:r>
      <w:r w:rsidR="00093ACA" w:rsidRPr="00AE5460">
        <w:t>45</w:t>
      </w:r>
      <w:r w:rsidRPr="00AE5460">
        <w:t xml:space="preserve"> часа</w:t>
      </w:r>
      <w:r w:rsidRPr="005E02DA">
        <w:rPr>
          <w:b/>
        </w:rPr>
        <w:t>,</w:t>
      </w:r>
      <w:r w:rsidR="00714853">
        <w:t xml:space="preserve"> </w:t>
      </w:r>
      <w:r w:rsidRPr="005E02DA">
        <w:t xml:space="preserve"> съгласно посоченото </w:t>
      </w:r>
      <w:r w:rsidR="001E66C1">
        <w:t>в</w:t>
      </w:r>
      <w:r w:rsidRPr="005E02DA">
        <w:t xml:space="preserve"> обявлението за поръчката</w:t>
      </w:r>
    </w:p>
    <w:p w14:paraId="5F16E377" w14:textId="77777777" w:rsidR="00E01B28" w:rsidRPr="005E02DA" w:rsidRDefault="00E01B28" w:rsidP="00E01B28">
      <w:pPr>
        <w:spacing w:line="276" w:lineRule="auto"/>
        <w:ind w:firstLine="709"/>
        <w:jc w:val="both"/>
      </w:pPr>
      <w:r w:rsidRPr="005E02DA">
        <w:rPr>
          <w:b/>
        </w:rPr>
        <w:t>4.</w:t>
      </w:r>
      <w:r w:rsidRPr="005E02DA">
        <w:t xml:space="preserve"> При приемането на офертата върху плика се отбелязват пореден номер, датата и часа на получаването и посочените данни се записват във входящ регистър.</w:t>
      </w:r>
    </w:p>
    <w:p w14:paraId="0C2147F1" w14:textId="77777777" w:rsidR="00E01B28" w:rsidRDefault="00E01B28" w:rsidP="00FA4E94">
      <w:pPr>
        <w:spacing w:line="276" w:lineRule="auto"/>
        <w:ind w:firstLine="709"/>
        <w:jc w:val="both"/>
      </w:pPr>
      <w:r w:rsidRPr="005E02DA">
        <w:rPr>
          <w:b/>
        </w:rPr>
        <w:t>5.</w:t>
      </w:r>
      <w:r w:rsidRPr="005E02DA">
        <w:t xml:space="preserve"> Не се приемат за участие в процедурата оферти, които са представени след изтичане на крайния срок за получаване или в </w:t>
      </w:r>
      <w:proofErr w:type="spellStart"/>
      <w:r w:rsidRPr="005E02DA">
        <w:t>незапечатан</w:t>
      </w:r>
      <w:proofErr w:type="spellEnd"/>
      <w:r w:rsidRPr="005E02DA">
        <w:t xml:space="preserve"> или скъсан плик или с </w:t>
      </w:r>
      <w:proofErr w:type="spellStart"/>
      <w:r w:rsidRPr="005E02DA">
        <w:t>непопълнени</w:t>
      </w:r>
      <w:proofErr w:type="spellEnd"/>
      <w:r w:rsidRPr="005E02DA">
        <w:t xml:space="preserve"> данни. Такива оферти незабавно се връщат на подателя и съответното обстоятелство се отбелязва в регистъра.</w:t>
      </w:r>
    </w:p>
    <w:p w14:paraId="73D197C1" w14:textId="77777777" w:rsidR="00FA4E94" w:rsidRPr="005E02DA" w:rsidRDefault="00FA4E94" w:rsidP="00FA4E94">
      <w:pPr>
        <w:spacing w:line="276" w:lineRule="auto"/>
        <w:ind w:firstLine="709"/>
        <w:jc w:val="both"/>
      </w:pPr>
    </w:p>
    <w:p w14:paraId="4AB7B196" w14:textId="77777777" w:rsidR="00E01B28" w:rsidRPr="00547E87" w:rsidRDefault="00E01B28" w:rsidP="009A6A0B">
      <w:pPr>
        <w:spacing w:line="276" w:lineRule="auto"/>
        <w:ind w:firstLine="709"/>
        <w:jc w:val="both"/>
        <w:rPr>
          <w:b/>
          <w:caps/>
        </w:rPr>
      </w:pPr>
      <w:r w:rsidRPr="00547E87">
        <w:rPr>
          <w:b/>
          <w:caps/>
        </w:rPr>
        <w:t>V. Разяснения по документацията</w:t>
      </w:r>
    </w:p>
    <w:p w14:paraId="4FE10C9D" w14:textId="07ADB563" w:rsidR="00BE268D" w:rsidRPr="005D0233" w:rsidRDefault="00E01B28" w:rsidP="00BE268D">
      <w:pPr>
        <w:spacing w:line="360" w:lineRule="auto"/>
        <w:ind w:firstLine="709"/>
        <w:jc w:val="both"/>
      </w:pPr>
      <w:r w:rsidRPr="005D0233">
        <w:t>1.</w:t>
      </w:r>
      <w:r w:rsidRPr="00547E87">
        <w:t xml:space="preserve"> До </w:t>
      </w:r>
      <w:r w:rsidR="00077BFB">
        <w:t>5</w:t>
      </w:r>
      <w:r w:rsidRPr="00547E87">
        <w:t xml:space="preserve"> дни преди изтичане на срока за получаване на офер</w:t>
      </w:r>
      <w:r w:rsidR="000A6CC4">
        <w:t>ти за участие, посочен в</w:t>
      </w:r>
      <w:r w:rsidRPr="00547E87">
        <w:t xml:space="preserve"> обявлението за поръчка, лицата могат да поискат писмено от възложителя разяснения по документацията за участие.</w:t>
      </w:r>
      <w:r w:rsidR="00BE268D" w:rsidRPr="005D0233">
        <w:t xml:space="preserve"> Исканията за разяснения по документацията се адресират до г-жа Снежанка Деянова - Главен секретар на БНБ, като се изпращат на факс: 02/950 84 52, на e-</w:t>
      </w:r>
      <w:proofErr w:type="spellStart"/>
      <w:r w:rsidR="00BE268D" w:rsidRPr="005D0233">
        <w:t>mail</w:t>
      </w:r>
      <w:proofErr w:type="spellEnd"/>
      <w:r w:rsidR="00BE268D" w:rsidRPr="005D0233">
        <w:t xml:space="preserve"> - publicprocurement@bnbank.org или на адрес: гр. София 1000, пл. „Княз Александър I” № 1.</w:t>
      </w:r>
    </w:p>
    <w:p w14:paraId="0CF4C40E" w14:textId="7E94656C" w:rsidR="00E01B28" w:rsidRPr="00547E87" w:rsidRDefault="00BE268D" w:rsidP="00E01B28">
      <w:pPr>
        <w:spacing w:line="276" w:lineRule="auto"/>
        <w:ind w:firstLine="709"/>
        <w:jc w:val="both"/>
      </w:pPr>
      <w:r>
        <w:t>2</w:t>
      </w:r>
      <w:r w:rsidR="00E01B28" w:rsidRPr="005D0233">
        <w:t xml:space="preserve">. </w:t>
      </w:r>
      <w:r w:rsidR="00E01B28" w:rsidRPr="00547E87">
        <w:t>Искания, получени след изтичането на законоустано</w:t>
      </w:r>
      <w:r w:rsidR="00086290">
        <w:t>вения срок не се разглеждат от В</w:t>
      </w:r>
      <w:r w:rsidR="00E01B28" w:rsidRPr="00547E87">
        <w:t>ъзложителя.</w:t>
      </w:r>
    </w:p>
    <w:p w14:paraId="2511F746" w14:textId="1E03E96E" w:rsidR="002F5D8F" w:rsidRDefault="00BE268D" w:rsidP="00E01B28">
      <w:pPr>
        <w:spacing w:line="276" w:lineRule="auto"/>
        <w:ind w:firstLine="709"/>
        <w:jc w:val="both"/>
      </w:pPr>
      <w:r>
        <w:t>3</w:t>
      </w:r>
      <w:r w:rsidR="00E01B28" w:rsidRPr="005D0233">
        <w:t>.</w:t>
      </w:r>
      <w:r w:rsidR="00E01B28" w:rsidRPr="00547E87">
        <w:t xml:space="preserve"> В </w:t>
      </w:r>
      <w:r w:rsidR="00077BFB">
        <w:t>3</w:t>
      </w:r>
      <w:r w:rsidR="00E01B28" w:rsidRPr="00547E87">
        <w:t xml:space="preserve">-дневен срок, считано от получаването на всяко надлежно получено искане за разяснения по документацията, </w:t>
      </w:r>
      <w:r w:rsidR="00F36631">
        <w:t>В</w:t>
      </w:r>
      <w:r w:rsidR="00E01B28" w:rsidRPr="00547E87">
        <w:t>ъзложителят публикува в Профила н</w:t>
      </w:r>
      <w:r w:rsidR="000A6CC4">
        <w:t>а купувача дадените разяснения.</w:t>
      </w:r>
    </w:p>
    <w:p w14:paraId="399B3EA1" w14:textId="77777777" w:rsidR="00E11716" w:rsidRDefault="00E11716" w:rsidP="00E01B28">
      <w:pPr>
        <w:spacing w:line="276" w:lineRule="auto"/>
        <w:ind w:firstLine="709"/>
        <w:jc w:val="both"/>
      </w:pPr>
    </w:p>
    <w:p w14:paraId="0C2EA0A2" w14:textId="1B4BC0CD" w:rsidR="00E11716" w:rsidRPr="00DB6C81" w:rsidRDefault="00E11716" w:rsidP="00E11716">
      <w:pPr>
        <w:pStyle w:val="Heading1"/>
        <w:spacing w:before="0" w:line="360" w:lineRule="auto"/>
        <w:ind w:firstLine="709"/>
        <w:rPr>
          <w:rFonts w:ascii="Times New Roman" w:hAnsi="Times New Roman"/>
          <w:color w:val="auto"/>
          <w:sz w:val="24"/>
          <w:szCs w:val="24"/>
          <w:lang w:eastAsia="bg-BG"/>
        </w:rPr>
      </w:pPr>
      <w:r>
        <w:rPr>
          <w:rFonts w:ascii="Times New Roman" w:hAnsi="Times New Roman"/>
          <w:color w:val="auto"/>
          <w:sz w:val="24"/>
          <w:szCs w:val="24"/>
          <w:lang w:val="en-US" w:eastAsia="bg-BG"/>
        </w:rPr>
        <w:t>V</w:t>
      </w:r>
      <w:r w:rsidRPr="00DB6C81">
        <w:rPr>
          <w:rFonts w:ascii="Times New Roman" w:hAnsi="Times New Roman"/>
          <w:color w:val="auto"/>
          <w:sz w:val="24"/>
          <w:szCs w:val="24"/>
          <w:lang w:val="en-US" w:eastAsia="bg-BG"/>
        </w:rPr>
        <w:t>I</w:t>
      </w:r>
      <w:r w:rsidRPr="00DB6C81">
        <w:rPr>
          <w:rFonts w:ascii="Times New Roman" w:hAnsi="Times New Roman"/>
          <w:color w:val="auto"/>
          <w:sz w:val="24"/>
          <w:szCs w:val="24"/>
          <w:lang w:eastAsia="bg-BG"/>
        </w:rPr>
        <w:t>. ГАРАНЦИЯ ЗА ИЗПЪЛНЕНИЕ НА ДОГОВОРА</w:t>
      </w:r>
    </w:p>
    <w:p w14:paraId="73D5257D" w14:textId="1826F790" w:rsidR="00E11716" w:rsidRPr="00DB6C81" w:rsidRDefault="00E11716" w:rsidP="00E11716">
      <w:pPr>
        <w:tabs>
          <w:tab w:val="left" w:pos="720"/>
          <w:tab w:val="left" w:pos="1134"/>
        </w:tabs>
        <w:spacing w:line="360" w:lineRule="auto"/>
        <w:ind w:firstLine="709"/>
        <w:jc w:val="both"/>
        <w:rPr>
          <w:rFonts w:eastAsia="Times New Roman"/>
        </w:rPr>
      </w:pPr>
      <w:r w:rsidRPr="00DB6C81">
        <w:rPr>
          <w:rFonts w:eastAsia="Times New Roman"/>
          <w:b/>
        </w:rPr>
        <w:tab/>
        <w:t>1.</w:t>
      </w:r>
      <w:r w:rsidRPr="00DB6C81">
        <w:rPr>
          <w:rFonts w:eastAsia="Times New Roman"/>
        </w:rPr>
        <w:t xml:space="preserve"> Гаранцията за изпълнение на даден договор се представя от участника, определен за изпълнител на поръчката, при подписване на съответния договор, в размер на </w:t>
      </w:r>
      <w:r>
        <w:rPr>
          <w:rFonts w:eastAsia="Times New Roman"/>
        </w:rPr>
        <w:t>3</w:t>
      </w:r>
      <w:r w:rsidRPr="00DB6C81">
        <w:rPr>
          <w:rFonts w:eastAsia="Times New Roman"/>
        </w:rPr>
        <w:t xml:space="preserve"> % от сумата, посочена в чл. </w:t>
      </w:r>
      <w:r w:rsidR="00AA293A">
        <w:rPr>
          <w:rFonts w:eastAsia="Times New Roman"/>
          <w:lang w:val="en-US"/>
        </w:rPr>
        <w:t>5,</w:t>
      </w:r>
      <w:r w:rsidRPr="00DB6C81">
        <w:rPr>
          <w:rFonts w:eastAsia="Times New Roman"/>
        </w:rPr>
        <w:t xml:space="preserve"> ал. </w:t>
      </w:r>
      <w:r w:rsidR="00AA293A">
        <w:rPr>
          <w:rFonts w:eastAsia="Times New Roman"/>
          <w:lang w:val="en-US"/>
        </w:rPr>
        <w:t>10</w:t>
      </w:r>
      <w:r w:rsidRPr="00DB6C81">
        <w:rPr>
          <w:rFonts w:eastAsia="Times New Roman"/>
        </w:rPr>
        <w:t xml:space="preserve"> от проекта на договор.</w:t>
      </w:r>
    </w:p>
    <w:p w14:paraId="530C26EB" w14:textId="77777777" w:rsidR="00E11716" w:rsidRPr="00DB6C81" w:rsidRDefault="00E11716" w:rsidP="00E11716">
      <w:pPr>
        <w:tabs>
          <w:tab w:val="left" w:pos="720"/>
          <w:tab w:val="left" w:pos="1134"/>
        </w:tabs>
        <w:spacing w:line="360" w:lineRule="auto"/>
        <w:ind w:firstLine="709"/>
        <w:jc w:val="both"/>
        <w:rPr>
          <w:rFonts w:eastAsia="Times New Roman"/>
        </w:rPr>
      </w:pPr>
      <w:r w:rsidRPr="00DB6C81">
        <w:rPr>
          <w:rFonts w:eastAsia="Times New Roman"/>
          <w:b/>
        </w:rPr>
        <w:tab/>
        <w:t>2.</w:t>
      </w:r>
      <w:r w:rsidRPr="00DB6C81">
        <w:rPr>
          <w:rFonts w:eastAsia="Times New Roman"/>
        </w:rPr>
        <w:t xml:space="preserve"> Условията за освобождаване и задържане на гаранцията са определени в проекта на договор.  </w:t>
      </w:r>
    </w:p>
    <w:p w14:paraId="143DDE9D" w14:textId="77777777" w:rsidR="00E11716" w:rsidRPr="00DB6C81" w:rsidRDefault="00E11716" w:rsidP="00E11716">
      <w:pPr>
        <w:tabs>
          <w:tab w:val="left" w:pos="720"/>
          <w:tab w:val="left" w:pos="1134"/>
        </w:tabs>
        <w:spacing w:line="360" w:lineRule="auto"/>
        <w:ind w:firstLine="709"/>
        <w:jc w:val="both"/>
        <w:rPr>
          <w:rFonts w:eastAsia="Times New Roman"/>
        </w:rPr>
      </w:pPr>
      <w:r w:rsidRPr="00DB6C81">
        <w:rPr>
          <w:rFonts w:eastAsia="Times New Roman"/>
          <w:b/>
        </w:rPr>
        <w:tab/>
        <w:t>3.</w:t>
      </w:r>
      <w:r w:rsidRPr="00DB6C81">
        <w:rPr>
          <w:rFonts w:eastAsia="Times New Roman"/>
        </w:rPr>
        <w:t xml:space="preserve"> Гаранцията/</w:t>
      </w:r>
      <w:proofErr w:type="spellStart"/>
      <w:r w:rsidRPr="00DB6C81">
        <w:rPr>
          <w:rFonts w:eastAsia="Times New Roman"/>
        </w:rPr>
        <w:t>ите</w:t>
      </w:r>
      <w:proofErr w:type="spellEnd"/>
      <w:r w:rsidRPr="00DB6C81">
        <w:rPr>
          <w:rFonts w:eastAsia="Times New Roman"/>
        </w:rPr>
        <w:t xml:space="preserve"> за изпълнение се представя/т под формата на банкова гаранция - в оригинал, парична сума  или застраховка, която обезпечава изпълнението чрез покритие на отговорността на изпълнителя. </w:t>
      </w:r>
    </w:p>
    <w:p w14:paraId="2491ED53"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4.</w:t>
      </w:r>
      <w:r w:rsidRPr="00DB6C81">
        <w:rPr>
          <w:rFonts w:eastAsia="Times New Roman"/>
        </w:rPr>
        <w:t xml:space="preserve"> Участникът, определен за изпълнител избира сам формата на гаранцията/</w:t>
      </w:r>
      <w:proofErr w:type="spellStart"/>
      <w:r w:rsidRPr="00DB6C81">
        <w:rPr>
          <w:rFonts w:eastAsia="Times New Roman"/>
        </w:rPr>
        <w:t>ите</w:t>
      </w:r>
      <w:proofErr w:type="spellEnd"/>
      <w:r w:rsidRPr="00DB6C81">
        <w:rPr>
          <w:rFonts w:eastAsia="Times New Roman"/>
        </w:rPr>
        <w:t xml:space="preserve"> за изпълнение</w:t>
      </w:r>
      <w:r>
        <w:rPr>
          <w:rFonts w:eastAsia="Times New Roman"/>
          <w:lang w:val="en-US"/>
        </w:rPr>
        <w:t>.</w:t>
      </w:r>
    </w:p>
    <w:p w14:paraId="0D4A5D26"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5.</w:t>
      </w:r>
      <w:r w:rsidRPr="00DB6C81">
        <w:rPr>
          <w:rFonts w:eastAsia="Times New Roman"/>
        </w:rPr>
        <w:t xml:space="preserve"> Когато избраният изпълнител е обединение, което не е юридическо лице, </w:t>
      </w:r>
      <w:r w:rsidRPr="00DB6C81">
        <w:rPr>
          <w:rFonts w:eastAsia="Times New Roman"/>
        </w:rPr>
        <w:lastRenderedPageBreak/>
        <w:t>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78E44608"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6.</w:t>
      </w:r>
      <w:r w:rsidRPr="00DB6C81">
        <w:rPr>
          <w:rFonts w:eastAsia="Times New Roman"/>
        </w:rPr>
        <w:t xml:space="preserve"> Ако гаранцията за изпълнение на договора се представя под формата на парична сума, тя се превежда по банкова сметка на БНБ - IBAN: BG40 BNBG 9661 1000 0661 23, BIC: BNBGBGSD</w:t>
      </w:r>
      <w:r>
        <w:rPr>
          <w:rFonts w:eastAsia="Times New Roman"/>
        </w:rPr>
        <w:t>.</w:t>
      </w:r>
    </w:p>
    <w:p w14:paraId="685F88D4"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7.</w:t>
      </w:r>
      <w:r w:rsidRPr="00DB6C81">
        <w:rPr>
          <w:rFonts w:eastAsia="Times New Roman"/>
        </w:rPr>
        <w:t xml:space="preserve"> В случай че гаранцията за изпълнение на договора е под формата на банкова гаранция, същата трябва отговаря на клаузите на договора.</w:t>
      </w:r>
    </w:p>
    <w:p w14:paraId="34112AD2"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8.</w:t>
      </w:r>
      <w:r w:rsidRPr="00DB6C81">
        <w:rPr>
          <w:rFonts w:eastAsia="Times New Roman"/>
        </w:rPr>
        <w:t xml:space="preserve"> В случай че гаранцията за изпълнение на договора е под формата на застраховка същата трябва отговаря на клаузите на договора.</w:t>
      </w:r>
    </w:p>
    <w:p w14:paraId="11A49328" w14:textId="77777777" w:rsidR="00E11716" w:rsidRPr="00DB6C81" w:rsidRDefault="00E11716" w:rsidP="00E11716">
      <w:pPr>
        <w:tabs>
          <w:tab w:val="left" w:pos="1134"/>
        </w:tabs>
        <w:spacing w:line="360" w:lineRule="auto"/>
        <w:ind w:firstLine="709"/>
        <w:jc w:val="both"/>
        <w:rPr>
          <w:rFonts w:eastAsia="Times New Roman"/>
        </w:rPr>
      </w:pPr>
      <w:r w:rsidRPr="00DB6C81">
        <w:rPr>
          <w:rFonts w:eastAsia="Times New Roman"/>
          <w:b/>
        </w:rPr>
        <w:t>9.</w:t>
      </w:r>
      <w:r w:rsidRPr="00DB6C81">
        <w:rPr>
          <w:rFonts w:eastAsia="Times New Roman"/>
        </w:rPr>
        <w:t xml:space="preserve"> При представяне на гаранцията в нея изрично се посочва предметът на договора, за изпълнението на която се представя гаранцията.</w:t>
      </w:r>
    </w:p>
    <w:p w14:paraId="71AE2957" w14:textId="77777777" w:rsidR="00E11716" w:rsidRPr="00DB6C81" w:rsidRDefault="00E11716" w:rsidP="00E11716">
      <w:pPr>
        <w:tabs>
          <w:tab w:val="left" w:pos="1134"/>
        </w:tabs>
        <w:spacing w:line="360" w:lineRule="auto"/>
        <w:ind w:firstLine="709"/>
        <w:jc w:val="both"/>
        <w:rPr>
          <w:snapToGrid w:val="0"/>
        </w:rPr>
      </w:pPr>
    </w:p>
    <w:p w14:paraId="4174D735" w14:textId="094081DD" w:rsidR="00E11716" w:rsidRPr="00DB6C81" w:rsidRDefault="00E11716" w:rsidP="00E11716">
      <w:pPr>
        <w:tabs>
          <w:tab w:val="left" w:pos="1134"/>
        </w:tabs>
        <w:spacing w:line="360" w:lineRule="auto"/>
        <w:ind w:firstLine="709"/>
        <w:jc w:val="both"/>
        <w:rPr>
          <w:rFonts w:eastAsia="Times New Roman"/>
          <w:b/>
        </w:rPr>
      </w:pPr>
      <w:r>
        <w:rPr>
          <w:b/>
          <w:snapToGrid w:val="0"/>
          <w:lang w:val="en-US"/>
        </w:rPr>
        <w:t>VII</w:t>
      </w:r>
      <w:r w:rsidRPr="00DB6C81">
        <w:rPr>
          <w:b/>
          <w:snapToGrid w:val="0"/>
        </w:rPr>
        <w:t xml:space="preserve">. СКЛЮЧВАНЕ НА ДОГОВОР. </w:t>
      </w:r>
    </w:p>
    <w:p w14:paraId="3A70D59C" w14:textId="5CC4B5D8"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Договорът за обществената поръчка се сключва с участника, определен за изпълнител</w:t>
      </w:r>
      <w:r w:rsidR="00AA293A">
        <w:rPr>
          <w:rFonts w:eastAsia="Times New Roman"/>
          <w:snapToGrid w:val="0"/>
          <w:lang w:val="en-US"/>
        </w:rPr>
        <w:t xml:space="preserve"> </w:t>
      </w:r>
      <w:r w:rsidR="00AA293A">
        <w:rPr>
          <w:rFonts w:eastAsia="Times New Roman"/>
          <w:snapToGrid w:val="0"/>
        </w:rPr>
        <w:t>по съответната обособена позиция</w:t>
      </w:r>
      <w:r w:rsidRPr="00DB6C81">
        <w:rPr>
          <w:rFonts w:eastAsia="Times New Roman"/>
          <w:snapToGrid w:val="0"/>
        </w:rPr>
        <w:t xml:space="preserve"> в резултат на проведената процедура при изпълнени изисквания по чл. 112, ал. 1 от ЗОП.</w:t>
      </w:r>
    </w:p>
    <w:p w14:paraId="15BF94D8" w14:textId="77777777"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Договор не се сключва в случаите по чл. 112, ал. 2 от ЗОП.</w:t>
      </w:r>
    </w:p>
    <w:p w14:paraId="71BDEDC5" w14:textId="77777777"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1E578D76" w14:textId="77777777"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1FDABB1D" w14:textId="77777777"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254919CF" w14:textId="77777777" w:rsidR="00E11716" w:rsidRPr="00DB6C81" w:rsidRDefault="00E11716" w:rsidP="00E11716">
      <w:pPr>
        <w:tabs>
          <w:tab w:val="left" w:pos="720"/>
        </w:tabs>
        <w:spacing w:line="360" w:lineRule="auto"/>
        <w:ind w:firstLine="709"/>
        <w:jc w:val="both"/>
        <w:rPr>
          <w:rFonts w:eastAsia="Times New Roman"/>
          <w:snapToGrid w:val="0"/>
        </w:rPr>
      </w:pPr>
      <w:r w:rsidRPr="00DB6C81">
        <w:rPr>
          <w:rFonts w:eastAsia="Times New Roman"/>
          <w:snapToGrid w:val="0"/>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 както и разпоредбите на действащото българско законодателство.</w:t>
      </w:r>
    </w:p>
    <w:p w14:paraId="006FDE9D" w14:textId="77777777" w:rsidR="00E11716" w:rsidRPr="00DB6C81" w:rsidRDefault="00E11716" w:rsidP="00E11716">
      <w:pPr>
        <w:tabs>
          <w:tab w:val="left" w:pos="720"/>
        </w:tabs>
        <w:spacing w:line="360" w:lineRule="auto"/>
        <w:ind w:firstLine="709"/>
        <w:jc w:val="both"/>
        <w:rPr>
          <w:rFonts w:eastAsia="Times New Roman"/>
          <w:snapToGrid w:val="0"/>
        </w:rPr>
      </w:pPr>
    </w:p>
    <w:p w14:paraId="5EBBDA4A" w14:textId="731A2AAB" w:rsidR="00E11716" w:rsidRPr="00DB6C81" w:rsidRDefault="00E11716" w:rsidP="00E11716">
      <w:pPr>
        <w:tabs>
          <w:tab w:val="left" w:pos="720"/>
        </w:tabs>
        <w:spacing w:line="360" w:lineRule="auto"/>
        <w:ind w:firstLine="709"/>
        <w:jc w:val="both"/>
        <w:rPr>
          <w:b/>
          <w:snapToGrid w:val="0"/>
        </w:rPr>
      </w:pPr>
      <w:r>
        <w:rPr>
          <w:b/>
          <w:lang w:val="en-US"/>
        </w:rPr>
        <w:t>VIII</w:t>
      </w:r>
      <w:r w:rsidRPr="00DB6C81">
        <w:rPr>
          <w:b/>
        </w:rPr>
        <w:t xml:space="preserve">. </w:t>
      </w:r>
      <w:r w:rsidRPr="00DB6C81">
        <w:rPr>
          <w:b/>
          <w:snapToGrid w:val="0"/>
        </w:rPr>
        <w:t>ДОГОВОР ЗА ПОДИЗПЪЛНЕНИЕ.</w:t>
      </w:r>
    </w:p>
    <w:p w14:paraId="67B23DFF" w14:textId="77777777" w:rsidR="00E11716" w:rsidRPr="00DB6C81" w:rsidRDefault="00E11716" w:rsidP="00E11716">
      <w:pPr>
        <w:tabs>
          <w:tab w:val="left" w:pos="720"/>
        </w:tabs>
        <w:spacing w:line="360" w:lineRule="auto"/>
        <w:ind w:firstLine="709"/>
        <w:jc w:val="both"/>
        <w:rPr>
          <w:rFonts w:eastAsia="Times New Roman"/>
          <w:b/>
          <w:snapToGrid w:val="0"/>
        </w:rPr>
      </w:pPr>
      <w:r w:rsidRPr="00DB6C81">
        <w:rPr>
          <w:b/>
          <w:snapToGrid w:val="0"/>
        </w:rPr>
        <w:t xml:space="preserve">Договор за </w:t>
      </w:r>
      <w:proofErr w:type="spellStart"/>
      <w:r w:rsidRPr="00DB6C81">
        <w:rPr>
          <w:b/>
          <w:snapToGrid w:val="0"/>
        </w:rPr>
        <w:t>подизпълнение</w:t>
      </w:r>
      <w:proofErr w:type="spellEnd"/>
    </w:p>
    <w:p w14:paraId="3C014145" w14:textId="77777777" w:rsidR="00E11716" w:rsidRPr="00DB6C81" w:rsidRDefault="00E11716" w:rsidP="00E11716">
      <w:pPr>
        <w:tabs>
          <w:tab w:val="left" w:pos="720"/>
          <w:tab w:val="left" w:pos="1134"/>
        </w:tabs>
        <w:spacing w:line="360" w:lineRule="auto"/>
        <w:ind w:firstLine="709"/>
        <w:jc w:val="both"/>
        <w:rPr>
          <w:rFonts w:eastAsia="Times New Roman"/>
          <w:snapToGrid w:val="0"/>
        </w:rPr>
      </w:pPr>
      <w:r w:rsidRPr="00DB6C81">
        <w:rPr>
          <w:rFonts w:eastAsia="Times New Roman"/>
          <w:snapToGrid w:val="0"/>
        </w:rPr>
        <w:lastRenderedPageBreak/>
        <w:t xml:space="preserve">Избраният за изпълнител участник сключва договор за </w:t>
      </w:r>
      <w:proofErr w:type="spellStart"/>
      <w:r w:rsidRPr="00DB6C81">
        <w:rPr>
          <w:rFonts w:eastAsia="Times New Roman"/>
          <w:snapToGrid w:val="0"/>
        </w:rPr>
        <w:t>подизпълнение</w:t>
      </w:r>
      <w:proofErr w:type="spellEnd"/>
      <w:r w:rsidRPr="00DB6C81">
        <w:rPr>
          <w:rFonts w:eastAsia="Times New Roman"/>
          <w:snapToGrid w:val="0"/>
        </w:rPr>
        <w:t xml:space="preserve"> с подизпълнителите, посочени в офертата. Независимо от възможността за използване на подизпълнители отговорността за изпълнение на договора за обществена поръчка е на изпълнителя. </w:t>
      </w:r>
    </w:p>
    <w:p w14:paraId="1731C18C" w14:textId="77777777" w:rsidR="00E11716" w:rsidRPr="00DB6C81" w:rsidRDefault="00E11716" w:rsidP="00E11716">
      <w:pPr>
        <w:tabs>
          <w:tab w:val="left" w:pos="720"/>
          <w:tab w:val="left" w:pos="1134"/>
        </w:tabs>
        <w:spacing w:line="360" w:lineRule="auto"/>
        <w:ind w:firstLine="709"/>
        <w:jc w:val="both"/>
        <w:rPr>
          <w:rFonts w:eastAsia="Times New Roman"/>
          <w:snapToGrid w:val="0"/>
        </w:rPr>
      </w:pPr>
      <w:r w:rsidRPr="00DB6C81">
        <w:rPr>
          <w:rFonts w:eastAsia="Times New Roman"/>
          <w:snapToGrid w:val="0"/>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3190B9FB" w14:textId="7FC7495E" w:rsidR="00CB2FA3" w:rsidRPr="00ED303C" w:rsidRDefault="00CB2FA3" w:rsidP="00CB2FA3">
      <w:pPr>
        <w:spacing w:before="120" w:line="360" w:lineRule="auto"/>
        <w:ind w:firstLine="708"/>
        <w:jc w:val="both"/>
        <w:rPr>
          <w:i/>
        </w:rPr>
      </w:pPr>
      <w:r w:rsidRPr="005D0233">
        <w:rPr>
          <w:i/>
        </w:rPr>
        <w:t>Изпълнителят</w:t>
      </w:r>
      <w:r w:rsidRPr="00ED303C">
        <w:rPr>
          <w:i/>
        </w:rPr>
        <w:t xml:space="preserve"> се задължава да сключи договор/договори за </w:t>
      </w:r>
      <w:proofErr w:type="spellStart"/>
      <w:r w:rsidRPr="00ED303C">
        <w:rPr>
          <w:i/>
        </w:rPr>
        <w:t>подизпълнение</w:t>
      </w:r>
      <w:proofErr w:type="spellEnd"/>
      <w:r w:rsidRPr="00ED303C">
        <w:rPr>
          <w:i/>
        </w:rPr>
        <w:t xml:space="preserve"> с посочените в офертата му подизпълнители в срок от 3 (три) дни от сключване на настоящия Договор. В срок до 3 (три) дни от сключването на договор за </w:t>
      </w:r>
      <w:proofErr w:type="spellStart"/>
      <w:r w:rsidRPr="00ED303C">
        <w:rPr>
          <w:i/>
        </w:rPr>
        <w:t>подизпълнение</w:t>
      </w:r>
      <w:proofErr w:type="spellEnd"/>
      <w:r w:rsidRPr="00ED303C">
        <w:rPr>
          <w:i/>
        </w:rPr>
        <w:t xml:space="preserve"> или на допълнително споразумение за замяна на посочен в офертата подизпълнител </w:t>
      </w:r>
      <w:r w:rsidRPr="005D0233">
        <w:rPr>
          <w:i/>
        </w:rPr>
        <w:t>Изпълнителят</w:t>
      </w:r>
      <w:r w:rsidRPr="00ED303C">
        <w:rPr>
          <w:i/>
        </w:rPr>
        <w:t xml:space="preserve"> изпраща копие на договора или на допълнителното споразумение на </w:t>
      </w:r>
      <w:r w:rsidRPr="005D0233">
        <w:rPr>
          <w:i/>
        </w:rPr>
        <w:t>Възложителя</w:t>
      </w:r>
      <w:r w:rsidRPr="00ED303C">
        <w:rPr>
          <w:b/>
          <w:i/>
        </w:rPr>
        <w:t xml:space="preserve"> </w:t>
      </w:r>
      <w:r w:rsidRPr="00ED303C">
        <w:rPr>
          <w:i/>
        </w:rPr>
        <w:t xml:space="preserve">заедно с доказателства, че са изпълнени условията по </w:t>
      </w:r>
      <w:hyperlink r:id="rId8" w:anchor="p28982788" w:tgtFrame="_blank" w:history="1">
        <w:r w:rsidRPr="00ED303C">
          <w:rPr>
            <w:rStyle w:val="Hyperlink"/>
            <w:i/>
          </w:rPr>
          <w:t>чл. 66, ал. 2</w:t>
        </w:r>
      </w:hyperlink>
      <w:r w:rsidRPr="00ED303C">
        <w:rPr>
          <w:i/>
        </w:rPr>
        <w:t xml:space="preserve"> и </w:t>
      </w:r>
      <w:hyperlink r:id="rId9" w:anchor="p28982788" w:tgtFrame="_blank" w:history="1">
        <w:r w:rsidRPr="00ED303C">
          <w:rPr>
            <w:rStyle w:val="Hyperlink"/>
            <w:i/>
          </w:rPr>
          <w:t>11 ЗОП</w:t>
        </w:r>
      </w:hyperlink>
      <w:r w:rsidRPr="00ED303C">
        <w:rPr>
          <w:i/>
        </w:rPr>
        <w:t>.</w:t>
      </w:r>
    </w:p>
    <w:p w14:paraId="3746143E" w14:textId="03656FA3" w:rsidR="0046267F" w:rsidRPr="00ED303C" w:rsidRDefault="0046267F" w:rsidP="0046267F">
      <w:pPr>
        <w:spacing w:before="120" w:line="360" w:lineRule="auto"/>
        <w:ind w:firstLine="708"/>
        <w:jc w:val="both"/>
        <w:rPr>
          <w:i/>
        </w:rPr>
      </w:pPr>
      <w:r>
        <w:rPr>
          <w:i/>
        </w:rPr>
        <w:t>Когато за частта от у</w:t>
      </w:r>
      <w:r w:rsidRPr="00ED303C">
        <w:rPr>
          <w:i/>
        </w:rPr>
        <w:t xml:space="preserve">слугите, която се изпълнява от подизпълнител, изпълнението може да бъде предадено отделно от изпълнението на останалите </w:t>
      </w:r>
      <w:r>
        <w:rPr>
          <w:i/>
        </w:rPr>
        <w:t>у</w:t>
      </w:r>
      <w:r w:rsidRPr="00ED303C">
        <w:rPr>
          <w:i/>
        </w:rPr>
        <w:t xml:space="preserve">слуги, подизпълнителят представя на </w:t>
      </w:r>
      <w:r w:rsidRPr="005D0233">
        <w:rPr>
          <w:i/>
        </w:rPr>
        <w:t>изпълнителя</w:t>
      </w:r>
      <w:r w:rsidRPr="00ED303C">
        <w:rPr>
          <w:i/>
        </w:rPr>
        <w:t xml:space="preserve"> отчет за изпъл</w:t>
      </w:r>
      <w:r>
        <w:rPr>
          <w:i/>
        </w:rPr>
        <w:t>нението на съответната част от у</w:t>
      </w:r>
      <w:r w:rsidRPr="00ED303C">
        <w:rPr>
          <w:i/>
        </w:rPr>
        <w:t>слугите за съответния месец, заедно с искане за плащане на тази част пряко на подизпълнителя.</w:t>
      </w:r>
    </w:p>
    <w:p w14:paraId="1683691D" w14:textId="2C7598FE" w:rsidR="0046267F" w:rsidRPr="00ED303C" w:rsidRDefault="0046267F" w:rsidP="0046267F">
      <w:pPr>
        <w:spacing w:before="120" w:line="360" w:lineRule="auto"/>
        <w:ind w:firstLine="708"/>
        <w:jc w:val="both"/>
        <w:rPr>
          <w:i/>
        </w:rPr>
      </w:pPr>
      <w:r w:rsidRPr="005D0233">
        <w:rPr>
          <w:i/>
        </w:rPr>
        <w:t>Изпълнителят</w:t>
      </w:r>
      <w:r w:rsidRPr="00ED303C">
        <w:rPr>
          <w:i/>
        </w:rPr>
        <w:t xml:space="preserve"> се задължава да предостави на </w:t>
      </w:r>
      <w:r w:rsidRPr="005D0233">
        <w:rPr>
          <w:i/>
        </w:rPr>
        <w:t>възложителя</w:t>
      </w:r>
      <w:r w:rsidRPr="00ED303C">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290BCFAD" w14:textId="77777777" w:rsidR="00E11716" w:rsidRPr="00DB6C81" w:rsidRDefault="00E11716" w:rsidP="00E11716">
      <w:pPr>
        <w:tabs>
          <w:tab w:val="left" w:pos="720"/>
          <w:tab w:val="left" w:pos="1134"/>
        </w:tabs>
        <w:spacing w:line="360" w:lineRule="auto"/>
        <w:ind w:firstLine="709"/>
        <w:jc w:val="both"/>
        <w:rPr>
          <w:snapToGrid w:val="0"/>
        </w:rPr>
      </w:pPr>
    </w:p>
    <w:p w14:paraId="452AF138" w14:textId="204C9508" w:rsidR="00E11716" w:rsidRPr="00DB6C81" w:rsidRDefault="00E11716" w:rsidP="00E11716">
      <w:pPr>
        <w:tabs>
          <w:tab w:val="left" w:pos="720"/>
          <w:tab w:val="left" w:pos="1134"/>
        </w:tabs>
        <w:spacing w:line="360" w:lineRule="auto"/>
        <w:ind w:firstLine="709"/>
        <w:jc w:val="both"/>
        <w:rPr>
          <w:rFonts w:eastAsia="Times New Roman"/>
          <w:b/>
          <w:snapToGrid w:val="0"/>
        </w:rPr>
      </w:pPr>
      <w:r>
        <w:rPr>
          <w:b/>
          <w:lang w:val="en-US"/>
        </w:rPr>
        <w:t>IX</w:t>
      </w:r>
      <w:r w:rsidRPr="00DB6C81">
        <w:rPr>
          <w:b/>
        </w:rPr>
        <w:t>. ОБЖАЛВАНЕ</w:t>
      </w:r>
    </w:p>
    <w:p w14:paraId="1B74D53A" w14:textId="77777777" w:rsidR="00E11716" w:rsidRPr="00DB6C81" w:rsidRDefault="00E11716" w:rsidP="00E11716">
      <w:pPr>
        <w:tabs>
          <w:tab w:val="left" w:pos="3240"/>
        </w:tabs>
        <w:spacing w:line="360" w:lineRule="auto"/>
        <w:ind w:firstLine="709"/>
        <w:jc w:val="both"/>
      </w:pPr>
      <w:r w:rsidRPr="00DB6C81">
        <w:t>Обжалването се извършва при условията и по реда на чл. 196 и сл. от ЗОП</w:t>
      </w:r>
    </w:p>
    <w:p w14:paraId="6C24CA6A" w14:textId="77777777" w:rsidR="00E11716" w:rsidRPr="00DB6C81" w:rsidRDefault="00E11716" w:rsidP="00E11716">
      <w:pPr>
        <w:tabs>
          <w:tab w:val="left" w:pos="3240"/>
        </w:tabs>
        <w:spacing w:line="360" w:lineRule="auto"/>
        <w:ind w:firstLine="709"/>
        <w:jc w:val="both"/>
      </w:pPr>
    </w:p>
    <w:p w14:paraId="5A763520" w14:textId="2BD32606" w:rsidR="00E11716" w:rsidRPr="00DB6C81" w:rsidRDefault="00E11716" w:rsidP="00E11716">
      <w:pPr>
        <w:tabs>
          <w:tab w:val="left" w:pos="3240"/>
        </w:tabs>
        <w:spacing w:line="360" w:lineRule="auto"/>
        <w:ind w:firstLine="709"/>
        <w:jc w:val="both"/>
        <w:rPr>
          <w:rFonts w:eastAsia="Arial Unicode MS"/>
          <w:b/>
        </w:rPr>
      </w:pPr>
      <w:r w:rsidRPr="00DB6C81">
        <w:rPr>
          <w:b/>
        </w:rPr>
        <w:t>Х. ДРУГИ УСЛОВИЯ</w:t>
      </w:r>
    </w:p>
    <w:p w14:paraId="03E0E6C5" w14:textId="77777777" w:rsidR="00E11716" w:rsidRPr="00DB6C81" w:rsidRDefault="00E11716" w:rsidP="00E11716">
      <w:pPr>
        <w:tabs>
          <w:tab w:val="left" w:pos="709"/>
          <w:tab w:val="left" w:pos="1134"/>
        </w:tabs>
        <w:spacing w:line="360" w:lineRule="auto"/>
        <w:ind w:firstLine="709"/>
        <w:jc w:val="both"/>
        <w:rPr>
          <w:rFonts w:eastAsia="Times New Roman"/>
        </w:rPr>
      </w:pPr>
      <w:r w:rsidRPr="00DB6C81">
        <w:rPr>
          <w:rFonts w:eastAsia="Times New Roman"/>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6601B462" w14:textId="77777777" w:rsidR="00E11716" w:rsidRPr="00DB6C81" w:rsidRDefault="00E11716" w:rsidP="00E11716">
      <w:pPr>
        <w:tabs>
          <w:tab w:val="left" w:pos="709"/>
          <w:tab w:val="left" w:pos="1134"/>
        </w:tabs>
        <w:spacing w:line="360" w:lineRule="auto"/>
        <w:ind w:firstLine="709"/>
        <w:jc w:val="both"/>
        <w:rPr>
          <w:rFonts w:eastAsia="Times New Roman"/>
        </w:rPr>
      </w:pPr>
      <w:r w:rsidRPr="00DB6C81">
        <w:rPr>
          <w:rFonts w:eastAsia="Times New Roman"/>
        </w:rPr>
        <w:t xml:space="preserve">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w:t>
      </w:r>
      <w:r w:rsidRPr="00DB6C81">
        <w:rPr>
          <w:rFonts w:eastAsia="Times New Roman"/>
        </w:rPr>
        <w:lastRenderedPageBreak/>
        <w:t>за обществените поръчки.</w:t>
      </w:r>
    </w:p>
    <w:p w14:paraId="6A7202DE" w14:textId="77777777" w:rsidR="00E11716" w:rsidRPr="00DB6C81" w:rsidRDefault="00E11716" w:rsidP="00E11716">
      <w:pPr>
        <w:tabs>
          <w:tab w:val="left" w:pos="709"/>
          <w:tab w:val="left" w:pos="1134"/>
        </w:tabs>
        <w:spacing w:line="360" w:lineRule="auto"/>
        <w:ind w:firstLine="709"/>
        <w:jc w:val="both"/>
        <w:rPr>
          <w:rFonts w:eastAsia="Times New Roman"/>
        </w:rPr>
      </w:pPr>
    </w:p>
    <w:p w14:paraId="32E4F4BD" w14:textId="77777777" w:rsidR="00E11716" w:rsidRPr="00DB6C81" w:rsidRDefault="00E11716" w:rsidP="00E11716">
      <w:pPr>
        <w:spacing w:line="360" w:lineRule="auto"/>
        <w:ind w:firstLine="708"/>
        <w:jc w:val="both"/>
      </w:pPr>
      <w:r w:rsidRPr="00DB6C81">
        <w:rPr>
          <w:rFonts w:eastAsia="Times New Roman"/>
          <w:b/>
          <w:i/>
        </w:rPr>
        <w:t xml:space="preserve">ЗАБЕЛЕЖКА: </w:t>
      </w:r>
      <w:r w:rsidRPr="00DB6C81">
        <w:rPr>
          <w:rFonts w:eastAsia="Times New Roman"/>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14:paraId="13BE722B" w14:textId="77777777" w:rsidR="00E11716" w:rsidRPr="00547E87" w:rsidRDefault="00E11716" w:rsidP="00E01B28">
      <w:pPr>
        <w:spacing w:line="276" w:lineRule="auto"/>
        <w:ind w:firstLine="709"/>
        <w:jc w:val="both"/>
        <w:rPr>
          <w:rStyle w:val="Normal12ptChar"/>
          <w:rFonts w:eastAsiaTheme="minorEastAsia"/>
          <w:b w:val="0"/>
          <w:caps w:val="0"/>
        </w:rPr>
      </w:pPr>
    </w:p>
    <w:sectPr w:rsidR="00E11716" w:rsidRPr="00547E87" w:rsidSect="00054AEB">
      <w:footerReference w:type="default" r:id="rId10"/>
      <w:pgSz w:w="11906" w:h="16838"/>
      <w:pgMar w:top="1418" w:right="1418" w:bottom="1418" w:left="1418" w:header="709"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89DFB4" w14:textId="77777777" w:rsidR="000D288F" w:rsidRDefault="000D288F" w:rsidP="003C51C0">
      <w:r>
        <w:separator/>
      </w:r>
    </w:p>
  </w:endnote>
  <w:endnote w:type="continuationSeparator" w:id="0">
    <w:p w14:paraId="37DC9CF6" w14:textId="77777777" w:rsidR="000D288F" w:rsidRDefault="000D288F" w:rsidP="003C5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1FDFF" w14:textId="77777777" w:rsidR="00730528" w:rsidRDefault="00730528" w:rsidP="00730528">
    <w:pPr>
      <w:tabs>
        <w:tab w:val="center" w:pos="4550"/>
        <w:tab w:val="left" w:pos="5818"/>
      </w:tabs>
      <w:ind w:right="260"/>
      <w:rPr>
        <w:color w:val="222A35" w:themeColor="text2" w:themeShade="80"/>
      </w:rPr>
    </w:pPr>
  </w:p>
  <w:p w14:paraId="05DA1FD8" w14:textId="77777777" w:rsidR="004E4532" w:rsidRDefault="004E4532">
    <w:pPr>
      <w:pStyle w:val="Footer"/>
      <w:rPr>
        <w:i/>
        <w:sz w:val="18"/>
        <w:szCs w:val="18"/>
      </w:rPr>
    </w:pPr>
  </w:p>
  <w:p w14:paraId="1C044CDB" w14:textId="77777777" w:rsidR="00730528" w:rsidRPr="007022A3" w:rsidRDefault="00730528">
    <w:pPr>
      <w:pStyle w:val="Footer"/>
      <w:rPr>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2D2CBA" w14:textId="77777777" w:rsidR="000D288F" w:rsidRDefault="000D288F" w:rsidP="003C51C0">
      <w:r>
        <w:separator/>
      </w:r>
    </w:p>
  </w:footnote>
  <w:footnote w:type="continuationSeparator" w:id="0">
    <w:p w14:paraId="2925D9BD" w14:textId="77777777" w:rsidR="000D288F" w:rsidRDefault="000D288F" w:rsidP="003C51C0">
      <w:r>
        <w:continuationSeparator/>
      </w:r>
    </w:p>
  </w:footnote>
  <w:footnote w:id="1">
    <w:p w14:paraId="3BE41E81" w14:textId="77777777" w:rsidR="00E01B28" w:rsidRPr="00CF3603" w:rsidRDefault="00E01B28" w:rsidP="00E01B28">
      <w:pPr>
        <w:pStyle w:val="FootnoteText"/>
        <w:jc w:val="both"/>
        <w:rPr>
          <w:i/>
          <w:color w:val="000000" w:themeColor="text1"/>
          <w:lang w:val="bg-BG"/>
        </w:rPr>
      </w:pPr>
      <w:r w:rsidRPr="00CF3603">
        <w:rPr>
          <w:rStyle w:val="FootnoteReference"/>
          <w:i/>
          <w:color w:val="000000" w:themeColor="text1"/>
        </w:rPr>
        <w:footnoteRef/>
      </w:r>
      <w:r w:rsidRPr="00CF3603">
        <w:rPr>
          <w:i/>
          <w:color w:val="000000" w:themeColor="text1"/>
        </w:rPr>
        <w:t xml:space="preserve"> </w:t>
      </w:r>
      <w:r w:rsidRPr="00CF3603">
        <w:rPr>
          <w:i/>
          <w:color w:val="000000" w:themeColor="text1"/>
          <w:lang w:val="bg-BG"/>
        </w:rPr>
        <w:t xml:space="preserve">По смисъла на </w:t>
      </w:r>
      <w:r w:rsidRPr="00CF3603">
        <w:rPr>
          <w:i/>
          <w:color w:val="000000" w:themeColor="text1"/>
        </w:rPr>
        <w:t xml:space="preserve">§ 1, т. 1 </w:t>
      </w:r>
      <w:proofErr w:type="spellStart"/>
      <w:r w:rsidRPr="00CF3603">
        <w:rPr>
          <w:i/>
          <w:color w:val="000000" w:themeColor="text1"/>
        </w:rPr>
        <w:t>от</w:t>
      </w:r>
      <w:proofErr w:type="spellEnd"/>
      <w:r w:rsidRPr="00CF3603">
        <w:rPr>
          <w:i/>
          <w:color w:val="000000" w:themeColor="text1"/>
        </w:rPr>
        <w:t xml:space="preserve"> </w:t>
      </w:r>
      <w:proofErr w:type="spellStart"/>
      <w:r w:rsidRPr="00CF3603">
        <w:rPr>
          <w:i/>
          <w:color w:val="000000" w:themeColor="text1"/>
        </w:rPr>
        <w:t>Допълнителните</w:t>
      </w:r>
      <w:proofErr w:type="spellEnd"/>
      <w:r w:rsidRPr="00CF3603">
        <w:rPr>
          <w:i/>
          <w:color w:val="000000" w:themeColor="text1"/>
        </w:rPr>
        <w:t xml:space="preserve"> </w:t>
      </w:r>
      <w:proofErr w:type="spellStart"/>
      <w:r w:rsidRPr="00CF3603">
        <w:rPr>
          <w:i/>
          <w:color w:val="000000" w:themeColor="text1"/>
        </w:rPr>
        <w:t>разпоредби</w:t>
      </w:r>
      <w:proofErr w:type="spellEnd"/>
      <w:r w:rsidRPr="00CF3603">
        <w:rPr>
          <w:i/>
          <w:color w:val="000000" w:themeColor="text1"/>
        </w:rPr>
        <w:t xml:space="preserve"> </w:t>
      </w:r>
      <w:proofErr w:type="spellStart"/>
      <w:r w:rsidRPr="00CF3603">
        <w:rPr>
          <w:i/>
          <w:color w:val="000000" w:themeColor="text1"/>
        </w:rPr>
        <w:t>на</w:t>
      </w:r>
      <w:proofErr w:type="spellEnd"/>
      <w:r w:rsidRPr="00CF3603">
        <w:rPr>
          <w:i/>
          <w:color w:val="000000" w:themeColor="text1"/>
          <w:lang w:val="bg-BG"/>
        </w:rPr>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footnote>
  <w:footnote w:id="2">
    <w:p w14:paraId="39730A4A" w14:textId="77777777" w:rsidR="00E01B28" w:rsidRPr="00CF3603" w:rsidRDefault="00E01B28" w:rsidP="00E01B28">
      <w:pPr>
        <w:pStyle w:val="FootnoteText"/>
        <w:jc w:val="both"/>
        <w:rPr>
          <w:i/>
          <w:color w:val="000000" w:themeColor="text1"/>
          <w:lang w:val="bg-BG"/>
        </w:rPr>
      </w:pPr>
      <w:r w:rsidRPr="00CF3603">
        <w:rPr>
          <w:rStyle w:val="FootnoteReference"/>
          <w:i/>
          <w:color w:val="000000" w:themeColor="text1"/>
        </w:rPr>
        <w:footnoteRef/>
      </w:r>
      <w:r w:rsidRPr="00CF3603">
        <w:rPr>
          <w:i/>
          <w:color w:val="000000" w:themeColor="text1"/>
        </w:rPr>
        <w:t xml:space="preserve"> </w:t>
      </w:r>
      <w:r w:rsidRPr="00CF3603">
        <w:rPr>
          <w:i/>
          <w:color w:val="000000" w:themeColor="text1"/>
          <w:lang w:val="bg-BG"/>
        </w:rPr>
        <w:t>Вж. предходната бележка под линия.</w:t>
      </w:r>
    </w:p>
  </w:footnote>
  <w:footnote w:id="3">
    <w:p w14:paraId="0D5E810B" w14:textId="77777777" w:rsidR="00E01B28" w:rsidRPr="007644CB" w:rsidRDefault="00E01B28" w:rsidP="00E01B28">
      <w:pPr>
        <w:pStyle w:val="FootnoteText"/>
        <w:jc w:val="both"/>
        <w:rPr>
          <w:color w:val="FF0000"/>
          <w:lang w:val="bg-BG"/>
        </w:rPr>
      </w:pPr>
      <w:r w:rsidRPr="00CF3603">
        <w:rPr>
          <w:rStyle w:val="FootnoteReference"/>
          <w:i/>
          <w:color w:val="000000" w:themeColor="text1"/>
        </w:rPr>
        <w:footnoteRef/>
      </w:r>
      <w:r w:rsidRPr="00CF3603">
        <w:rPr>
          <w:i/>
          <w:color w:val="000000" w:themeColor="text1"/>
        </w:rPr>
        <w:t xml:space="preserve"> </w:t>
      </w:r>
      <w:r w:rsidRPr="00CF3603">
        <w:rPr>
          <w:i/>
          <w:color w:val="000000" w:themeColor="text1"/>
          <w:lang w:val="bg-BG"/>
        </w:rPr>
        <w:t>Вж. предходната бележка под линия.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E163C"/>
    <w:multiLevelType w:val="hybridMultilevel"/>
    <w:tmpl w:val="FF8E82B2"/>
    <w:lvl w:ilvl="0" w:tplc="538A4648">
      <w:start w:val="1"/>
      <w:numFmt w:val="decimal"/>
      <w:lvlText w:val="%1."/>
      <w:lvlJc w:val="left"/>
      <w:pPr>
        <w:ind w:left="720" w:hanging="360"/>
      </w:pPr>
      <w:rPr>
        <w:rFonts w:hint="default"/>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15:restartNumberingAfterBreak="0">
    <w:nsid w:val="3D9778B1"/>
    <w:multiLevelType w:val="hybridMultilevel"/>
    <w:tmpl w:val="363642EC"/>
    <w:lvl w:ilvl="0" w:tplc="08BA115C">
      <w:start w:val="2"/>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 w15:restartNumberingAfterBreak="0">
    <w:nsid w:val="457568D0"/>
    <w:multiLevelType w:val="hybridMultilevel"/>
    <w:tmpl w:val="896695C8"/>
    <w:lvl w:ilvl="0" w:tplc="04020001">
      <w:start w:val="1"/>
      <w:numFmt w:val="bullet"/>
      <w:lvlText w:val=""/>
      <w:lvlJc w:val="left"/>
      <w:pPr>
        <w:ind w:left="1789" w:hanging="360"/>
      </w:pPr>
      <w:rPr>
        <w:rFonts w:ascii="Symbol" w:hAnsi="Symbol" w:hint="default"/>
      </w:rPr>
    </w:lvl>
    <w:lvl w:ilvl="1" w:tplc="04020003" w:tentative="1">
      <w:start w:val="1"/>
      <w:numFmt w:val="bullet"/>
      <w:lvlText w:val="o"/>
      <w:lvlJc w:val="left"/>
      <w:pPr>
        <w:ind w:left="2509" w:hanging="360"/>
      </w:pPr>
      <w:rPr>
        <w:rFonts w:ascii="Courier New" w:hAnsi="Courier New" w:cs="Courier New" w:hint="default"/>
      </w:rPr>
    </w:lvl>
    <w:lvl w:ilvl="2" w:tplc="04020005" w:tentative="1">
      <w:start w:val="1"/>
      <w:numFmt w:val="bullet"/>
      <w:lvlText w:val=""/>
      <w:lvlJc w:val="left"/>
      <w:pPr>
        <w:ind w:left="3229" w:hanging="360"/>
      </w:pPr>
      <w:rPr>
        <w:rFonts w:ascii="Wingdings" w:hAnsi="Wingdings" w:hint="default"/>
      </w:rPr>
    </w:lvl>
    <w:lvl w:ilvl="3" w:tplc="04020001" w:tentative="1">
      <w:start w:val="1"/>
      <w:numFmt w:val="bullet"/>
      <w:lvlText w:val=""/>
      <w:lvlJc w:val="left"/>
      <w:pPr>
        <w:ind w:left="3949" w:hanging="360"/>
      </w:pPr>
      <w:rPr>
        <w:rFonts w:ascii="Symbol" w:hAnsi="Symbol" w:hint="default"/>
      </w:rPr>
    </w:lvl>
    <w:lvl w:ilvl="4" w:tplc="04020003" w:tentative="1">
      <w:start w:val="1"/>
      <w:numFmt w:val="bullet"/>
      <w:lvlText w:val="o"/>
      <w:lvlJc w:val="left"/>
      <w:pPr>
        <w:ind w:left="4669" w:hanging="360"/>
      </w:pPr>
      <w:rPr>
        <w:rFonts w:ascii="Courier New" w:hAnsi="Courier New" w:cs="Courier New" w:hint="default"/>
      </w:rPr>
    </w:lvl>
    <w:lvl w:ilvl="5" w:tplc="04020005" w:tentative="1">
      <w:start w:val="1"/>
      <w:numFmt w:val="bullet"/>
      <w:lvlText w:val=""/>
      <w:lvlJc w:val="left"/>
      <w:pPr>
        <w:ind w:left="5389" w:hanging="360"/>
      </w:pPr>
      <w:rPr>
        <w:rFonts w:ascii="Wingdings" w:hAnsi="Wingdings" w:hint="default"/>
      </w:rPr>
    </w:lvl>
    <w:lvl w:ilvl="6" w:tplc="04020001" w:tentative="1">
      <w:start w:val="1"/>
      <w:numFmt w:val="bullet"/>
      <w:lvlText w:val=""/>
      <w:lvlJc w:val="left"/>
      <w:pPr>
        <w:ind w:left="6109" w:hanging="360"/>
      </w:pPr>
      <w:rPr>
        <w:rFonts w:ascii="Symbol" w:hAnsi="Symbol" w:hint="default"/>
      </w:rPr>
    </w:lvl>
    <w:lvl w:ilvl="7" w:tplc="04020003" w:tentative="1">
      <w:start w:val="1"/>
      <w:numFmt w:val="bullet"/>
      <w:lvlText w:val="o"/>
      <w:lvlJc w:val="left"/>
      <w:pPr>
        <w:ind w:left="6829" w:hanging="360"/>
      </w:pPr>
      <w:rPr>
        <w:rFonts w:ascii="Courier New" w:hAnsi="Courier New" w:cs="Courier New" w:hint="default"/>
      </w:rPr>
    </w:lvl>
    <w:lvl w:ilvl="8" w:tplc="04020005" w:tentative="1">
      <w:start w:val="1"/>
      <w:numFmt w:val="bullet"/>
      <w:lvlText w:val=""/>
      <w:lvlJc w:val="left"/>
      <w:pPr>
        <w:ind w:left="7549" w:hanging="360"/>
      </w:pPr>
      <w:rPr>
        <w:rFonts w:ascii="Wingdings" w:hAnsi="Wingdings" w:hint="default"/>
      </w:rPr>
    </w:lvl>
  </w:abstractNum>
  <w:abstractNum w:abstractNumId="4" w15:restartNumberingAfterBreak="0">
    <w:nsid w:val="4F3A3469"/>
    <w:multiLevelType w:val="hybridMultilevel"/>
    <w:tmpl w:val="F2E4B60A"/>
    <w:lvl w:ilvl="0" w:tplc="7B7E2800">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56861839"/>
    <w:multiLevelType w:val="hybridMultilevel"/>
    <w:tmpl w:val="E2A0C5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6E8"/>
    <w:rsid w:val="0000537A"/>
    <w:rsid w:val="00032AE3"/>
    <w:rsid w:val="00046A60"/>
    <w:rsid w:val="000506DC"/>
    <w:rsid w:val="00054AEB"/>
    <w:rsid w:val="00063252"/>
    <w:rsid w:val="000741EC"/>
    <w:rsid w:val="00077BFB"/>
    <w:rsid w:val="000808F1"/>
    <w:rsid w:val="00080D01"/>
    <w:rsid w:val="00086290"/>
    <w:rsid w:val="00090477"/>
    <w:rsid w:val="00093ACA"/>
    <w:rsid w:val="000A637B"/>
    <w:rsid w:val="000A6CC4"/>
    <w:rsid w:val="000B630C"/>
    <w:rsid w:val="000D288F"/>
    <w:rsid w:val="000E2A73"/>
    <w:rsid w:val="000E7C25"/>
    <w:rsid w:val="000F5532"/>
    <w:rsid w:val="00113C53"/>
    <w:rsid w:val="00121C83"/>
    <w:rsid w:val="001429E4"/>
    <w:rsid w:val="00157070"/>
    <w:rsid w:val="00166B28"/>
    <w:rsid w:val="00167345"/>
    <w:rsid w:val="0017351B"/>
    <w:rsid w:val="00183C5C"/>
    <w:rsid w:val="001854EF"/>
    <w:rsid w:val="001A34DC"/>
    <w:rsid w:val="001B2D0C"/>
    <w:rsid w:val="001C2D28"/>
    <w:rsid w:val="001D135A"/>
    <w:rsid w:val="001D73D4"/>
    <w:rsid w:val="001E1CEF"/>
    <w:rsid w:val="001E66C1"/>
    <w:rsid w:val="001F2747"/>
    <w:rsid w:val="001F3C24"/>
    <w:rsid w:val="0020427E"/>
    <w:rsid w:val="0020580C"/>
    <w:rsid w:val="00217B9F"/>
    <w:rsid w:val="00223574"/>
    <w:rsid w:val="00232608"/>
    <w:rsid w:val="0024416F"/>
    <w:rsid w:val="00244A83"/>
    <w:rsid w:val="0025292D"/>
    <w:rsid w:val="00256BCE"/>
    <w:rsid w:val="00261006"/>
    <w:rsid w:val="0027246A"/>
    <w:rsid w:val="00275EE9"/>
    <w:rsid w:val="002767E3"/>
    <w:rsid w:val="00281C3E"/>
    <w:rsid w:val="002867A3"/>
    <w:rsid w:val="00294B51"/>
    <w:rsid w:val="002A2B48"/>
    <w:rsid w:val="002A2E39"/>
    <w:rsid w:val="002B17CD"/>
    <w:rsid w:val="002B6FC2"/>
    <w:rsid w:val="002E2390"/>
    <w:rsid w:val="002F5D8F"/>
    <w:rsid w:val="00304489"/>
    <w:rsid w:val="0031511A"/>
    <w:rsid w:val="00330BA9"/>
    <w:rsid w:val="00344842"/>
    <w:rsid w:val="00353322"/>
    <w:rsid w:val="00363B4D"/>
    <w:rsid w:val="00372AB8"/>
    <w:rsid w:val="00376E84"/>
    <w:rsid w:val="00386318"/>
    <w:rsid w:val="003A2F21"/>
    <w:rsid w:val="003B4D07"/>
    <w:rsid w:val="003C1374"/>
    <w:rsid w:val="003C51C0"/>
    <w:rsid w:val="003D3E76"/>
    <w:rsid w:val="003D5FB5"/>
    <w:rsid w:val="003D760D"/>
    <w:rsid w:val="003E0F51"/>
    <w:rsid w:val="003E5402"/>
    <w:rsid w:val="003F0A05"/>
    <w:rsid w:val="003F1C42"/>
    <w:rsid w:val="00415862"/>
    <w:rsid w:val="00422BD7"/>
    <w:rsid w:val="0042343D"/>
    <w:rsid w:val="00430F19"/>
    <w:rsid w:val="00433AEE"/>
    <w:rsid w:val="004360DD"/>
    <w:rsid w:val="00437191"/>
    <w:rsid w:val="0044534F"/>
    <w:rsid w:val="0046267F"/>
    <w:rsid w:val="00463F1B"/>
    <w:rsid w:val="004962F9"/>
    <w:rsid w:val="004A282A"/>
    <w:rsid w:val="004A4309"/>
    <w:rsid w:val="004B4C72"/>
    <w:rsid w:val="004B631B"/>
    <w:rsid w:val="004D4967"/>
    <w:rsid w:val="004D4FA6"/>
    <w:rsid w:val="004E4532"/>
    <w:rsid w:val="004E6D4C"/>
    <w:rsid w:val="00504D45"/>
    <w:rsid w:val="00525A56"/>
    <w:rsid w:val="00526C07"/>
    <w:rsid w:val="00534CB0"/>
    <w:rsid w:val="00543A2B"/>
    <w:rsid w:val="00547E87"/>
    <w:rsid w:val="00553700"/>
    <w:rsid w:val="0055417B"/>
    <w:rsid w:val="005546E5"/>
    <w:rsid w:val="00567CBA"/>
    <w:rsid w:val="00572712"/>
    <w:rsid w:val="00586491"/>
    <w:rsid w:val="005A3F3B"/>
    <w:rsid w:val="005A4486"/>
    <w:rsid w:val="005A7732"/>
    <w:rsid w:val="005B2683"/>
    <w:rsid w:val="005B5BD1"/>
    <w:rsid w:val="005C1A3D"/>
    <w:rsid w:val="005D0233"/>
    <w:rsid w:val="005D1ECC"/>
    <w:rsid w:val="005E02DA"/>
    <w:rsid w:val="0061128F"/>
    <w:rsid w:val="00611A94"/>
    <w:rsid w:val="006126E8"/>
    <w:rsid w:val="00616F90"/>
    <w:rsid w:val="00635AEB"/>
    <w:rsid w:val="006367F5"/>
    <w:rsid w:val="00642FDA"/>
    <w:rsid w:val="00644DC2"/>
    <w:rsid w:val="00654745"/>
    <w:rsid w:val="00657BBC"/>
    <w:rsid w:val="006640F6"/>
    <w:rsid w:val="006704EE"/>
    <w:rsid w:val="006728E7"/>
    <w:rsid w:val="00680894"/>
    <w:rsid w:val="0068213C"/>
    <w:rsid w:val="006923C1"/>
    <w:rsid w:val="00693D62"/>
    <w:rsid w:val="006A022C"/>
    <w:rsid w:val="006A0683"/>
    <w:rsid w:val="006A5D15"/>
    <w:rsid w:val="006B0878"/>
    <w:rsid w:val="006B6207"/>
    <w:rsid w:val="006D708D"/>
    <w:rsid w:val="006D7ADD"/>
    <w:rsid w:val="006D7AEF"/>
    <w:rsid w:val="006E23E5"/>
    <w:rsid w:val="006F12E8"/>
    <w:rsid w:val="006F651F"/>
    <w:rsid w:val="007022A3"/>
    <w:rsid w:val="00714853"/>
    <w:rsid w:val="0072721C"/>
    <w:rsid w:val="00730528"/>
    <w:rsid w:val="0074212F"/>
    <w:rsid w:val="0074762A"/>
    <w:rsid w:val="00750FC9"/>
    <w:rsid w:val="007638D1"/>
    <w:rsid w:val="00770845"/>
    <w:rsid w:val="00774844"/>
    <w:rsid w:val="00775464"/>
    <w:rsid w:val="00783308"/>
    <w:rsid w:val="00794371"/>
    <w:rsid w:val="00795AC6"/>
    <w:rsid w:val="007A0096"/>
    <w:rsid w:val="007B7ABA"/>
    <w:rsid w:val="007C1A44"/>
    <w:rsid w:val="007C6437"/>
    <w:rsid w:val="007E096C"/>
    <w:rsid w:val="007F390A"/>
    <w:rsid w:val="007F64CE"/>
    <w:rsid w:val="007F7545"/>
    <w:rsid w:val="00813FE5"/>
    <w:rsid w:val="0081559F"/>
    <w:rsid w:val="00843ACB"/>
    <w:rsid w:val="00853118"/>
    <w:rsid w:val="008540C8"/>
    <w:rsid w:val="00857317"/>
    <w:rsid w:val="00862747"/>
    <w:rsid w:val="008729A5"/>
    <w:rsid w:val="0087665D"/>
    <w:rsid w:val="00885AA9"/>
    <w:rsid w:val="008933CC"/>
    <w:rsid w:val="008A5A10"/>
    <w:rsid w:val="008B532F"/>
    <w:rsid w:val="008C5CCF"/>
    <w:rsid w:val="008E7317"/>
    <w:rsid w:val="008E73B9"/>
    <w:rsid w:val="008F5961"/>
    <w:rsid w:val="00904D6F"/>
    <w:rsid w:val="00932F15"/>
    <w:rsid w:val="00942B09"/>
    <w:rsid w:val="0095043C"/>
    <w:rsid w:val="009532E5"/>
    <w:rsid w:val="00961184"/>
    <w:rsid w:val="00981171"/>
    <w:rsid w:val="00981200"/>
    <w:rsid w:val="00985ABE"/>
    <w:rsid w:val="00986E7A"/>
    <w:rsid w:val="00996BC8"/>
    <w:rsid w:val="009A2F27"/>
    <w:rsid w:val="009A6A0B"/>
    <w:rsid w:val="009B1538"/>
    <w:rsid w:val="009B7690"/>
    <w:rsid w:val="009C2FAB"/>
    <w:rsid w:val="009D6AAC"/>
    <w:rsid w:val="009E3D2E"/>
    <w:rsid w:val="00A02BC6"/>
    <w:rsid w:val="00A1545B"/>
    <w:rsid w:val="00A17FCF"/>
    <w:rsid w:val="00A23C26"/>
    <w:rsid w:val="00A245B0"/>
    <w:rsid w:val="00A30FDA"/>
    <w:rsid w:val="00A3433B"/>
    <w:rsid w:val="00A41F78"/>
    <w:rsid w:val="00A45AA5"/>
    <w:rsid w:val="00A505FA"/>
    <w:rsid w:val="00A51C50"/>
    <w:rsid w:val="00A52CA6"/>
    <w:rsid w:val="00A81725"/>
    <w:rsid w:val="00A85036"/>
    <w:rsid w:val="00A974A5"/>
    <w:rsid w:val="00AA1FDD"/>
    <w:rsid w:val="00AA293A"/>
    <w:rsid w:val="00AA3C35"/>
    <w:rsid w:val="00AA53C5"/>
    <w:rsid w:val="00AC3418"/>
    <w:rsid w:val="00AD5F0D"/>
    <w:rsid w:val="00AE22A0"/>
    <w:rsid w:val="00AE4BD2"/>
    <w:rsid w:val="00AE5460"/>
    <w:rsid w:val="00AE7846"/>
    <w:rsid w:val="00AF1032"/>
    <w:rsid w:val="00B03643"/>
    <w:rsid w:val="00B07C8A"/>
    <w:rsid w:val="00B10AA1"/>
    <w:rsid w:val="00B12637"/>
    <w:rsid w:val="00B2269E"/>
    <w:rsid w:val="00B24CD2"/>
    <w:rsid w:val="00B3027D"/>
    <w:rsid w:val="00B477E2"/>
    <w:rsid w:val="00B64ED7"/>
    <w:rsid w:val="00B67D64"/>
    <w:rsid w:val="00B86C9C"/>
    <w:rsid w:val="00BA2E6E"/>
    <w:rsid w:val="00BE268D"/>
    <w:rsid w:val="00BF4649"/>
    <w:rsid w:val="00BF4BE1"/>
    <w:rsid w:val="00C1343D"/>
    <w:rsid w:val="00C62AA3"/>
    <w:rsid w:val="00C70C50"/>
    <w:rsid w:val="00C94115"/>
    <w:rsid w:val="00C94842"/>
    <w:rsid w:val="00C967FA"/>
    <w:rsid w:val="00CA538F"/>
    <w:rsid w:val="00CB2FA3"/>
    <w:rsid w:val="00CE5FB8"/>
    <w:rsid w:val="00D0162A"/>
    <w:rsid w:val="00D03121"/>
    <w:rsid w:val="00D10A26"/>
    <w:rsid w:val="00D118AC"/>
    <w:rsid w:val="00D133F4"/>
    <w:rsid w:val="00D17D5F"/>
    <w:rsid w:val="00D24B39"/>
    <w:rsid w:val="00D33D51"/>
    <w:rsid w:val="00D40CF3"/>
    <w:rsid w:val="00D923F9"/>
    <w:rsid w:val="00DB4FCC"/>
    <w:rsid w:val="00DC7A8A"/>
    <w:rsid w:val="00DD726A"/>
    <w:rsid w:val="00DE248A"/>
    <w:rsid w:val="00DE4974"/>
    <w:rsid w:val="00DF044B"/>
    <w:rsid w:val="00E017D6"/>
    <w:rsid w:val="00E01B28"/>
    <w:rsid w:val="00E11716"/>
    <w:rsid w:val="00E449F7"/>
    <w:rsid w:val="00E56DCF"/>
    <w:rsid w:val="00E707FB"/>
    <w:rsid w:val="00E940F0"/>
    <w:rsid w:val="00EA6B6E"/>
    <w:rsid w:val="00EB798B"/>
    <w:rsid w:val="00EB7A61"/>
    <w:rsid w:val="00EB7BF2"/>
    <w:rsid w:val="00ED0426"/>
    <w:rsid w:val="00ED45DE"/>
    <w:rsid w:val="00EF198B"/>
    <w:rsid w:val="00F05AD7"/>
    <w:rsid w:val="00F1665A"/>
    <w:rsid w:val="00F264F7"/>
    <w:rsid w:val="00F315D9"/>
    <w:rsid w:val="00F36631"/>
    <w:rsid w:val="00F37F68"/>
    <w:rsid w:val="00F414F9"/>
    <w:rsid w:val="00F67B77"/>
    <w:rsid w:val="00F71487"/>
    <w:rsid w:val="00F73E4A"/>
    <w:rsid w:val="00F80CEA"/>
    <w:rsid w:val="00F9218D"/>
    <w:rsid w:val="00FA178F"/>
    <w:rsid w:val="00FA4E94"/>
    <w:rsid w:val="00FA7720"/>
    <w:rsid w:val="00FB6FBC"/>
    <w:rsid w:val="00FC1975"/>
    <w:rsid w:val="00FC3AEE"/>
    <w:rsid w:val="00FC63E8"/>
    <w:rsid w:val="00FD38B5"/>
    <w:rsid w:val="00FE22F7"/>
    <w:rsid w:val="00FF033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C7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26E8"/>
    <w:pPr>
      <w:widowControl w:val="0"/>
      <w:overflowPunct w:val="0"/>
      <w:adjustRightInd w:val="0"/>
      <w:spacing w:after="0" w:line="240" w:lineRule="auto"/>
    </w:pPr>
    <w:rPr>
      <w:rFonts w:ascii="Times New Roman" w:eastAsiaTheme="minorEastAsia" w:hAnsi="Times New Roman" w:cs="Times New Roman"/>
      <w:kern w:val="28"/>
      <w:sz w:val="24"/>
      <w:szCs w:val="24"/>
      <w:lang w:eastAsia="bg-BG"/>
    </w:rPr>
  </w:style>
  <w:style w:type="paragraph" w:styleId="Heading1">
    <w:name w:val="heading 1"/>
    <w:basedOn w:val="Normal"/>
    <w:next w:val="Normal"/>
    <w:link w:val="Heading1Char"/>
    <w:uiPriority w:val="9"/>
    <w:qFormat/>
    <w:rsid w:val="00E11716"/>
    <w:pPr>
      <w:keepNext/>
      <w:keepLines/>
      <w:widowControl/>
      <w:overflowPunct/>
      <w:adjustRightInd/>
      <w:spacing w:before="480" w:line="276" w:lineRule="auto"/>
      <w:outlineLvl w:val="0"/>
    </w:pPr>
    <w:rPr>
      <w:rFonts w:ascii="Calibri Light" w:eastAsia="Times New Roman" w:hAnsi="Calibri Light"/>
      <w:b/>
      <w:bCs/>
      <w:color w:val="2E74B5"/>
      <w:kern w:val="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51C0"/>
    <w:pPr>
      <w:tabs>
        <w:tab w:val="center" w:pos="4536"/>
        <w:tab w:val="right" w:pos="9072"/>
      </w:tabs>
    </w:pPr>
  </w:style>
  <w:style w:type="character" w:customStyle="1" w:styleId="HeaderChar">
    <w:name w:val="Header Char"/>
    <w:basedOn w:val="DefaultParagraphFont"/>
    <w:link w:val="Header"/>
    <w:uiPriority w:val="99"/>
    <w:rsid w:val="003C51C0"/>
    <w:rPr>
      <w:rFonts w:ascii="Times New Roman" w:eastAsiaTheme="minorEastAsia" w:hAnsi="Times New Roman" w:cs="Times New Roman"/>
      <w:kern w:val="28"/>
      <w:sz w:val="24"/>
      <w:szCs w:val="24"/>
      <w:lang w:eastAsia="bg-BG"/>
    </w:rPr>
  </w:style>
  <w:style w:type="paragraph" w:styleId="Footer">
    <w:name w:val="footer"/>
    <w:basedOn w:val="Normal"/>
    <w:link w:val="FooterChar"/>
    <w:uiPriority w:val="99"/>
    <w:unhideWhenUsed/>
    <w:rsid w:val="003C51C0"/>
    <w:pPr>
      <w:tabs>
        <w:tab w:val="center" w:pos="4536"/>
        <w:tab w:val="right" w:pos="9072"/>
      </w:tabs>
    </w:pPr>
  </w:style>
  <w:style w:type="character" w:customStyle="1" w:styleId="FooterChar">
    <w:name w:val="Footer Char"/>
    <w:basedOn w:val="DefaultParagraphFont"/>
    <w:link w:val="Footer"/>
    <w:uiPriority w:val="99"/>
    <w:rsid w:val="003C51C0"/>
    <w:rPr>
      <w:rFonts w:ascii="Times New Roman" w:eastAsiaTheme="minorEastAsia" w:hAnsi="Times New Roman" w:cs="Times New Roman"/>
      <w:kern w:val="28"/>
      <w:sz w:val="24"/>
      <w:szCs w:val="24"/>
      <w:lang w:eastAsia="bg-BG"/>
    </w:rPr>
  </w:style>
  <w:style w:type="paragraph" w:customStyle="1" w:styleId="Normal12pt">
    <w:name w:val="Normal + 12 pt"/>
    <w:basedOn w:val="Normal"/>
    <w:link w:val="Normal12ptChar"/>
    <w:rsid w:val="00E01B28"/>
    <w:pPr>
      <w:widowControl/>
      <w:overflowPunct/>
      <w:adjustRightInd/>
      <w:spacing w:line="288" w:lineRule="auto"/>
      <w:ind w:firstLine="4144"/>
      <w:jc w:val="both"/>
    </w:pPr>
    <w:rPr>
      <w:rFonts w:eastAsia="Times New Roman"/>
      <w:b/>
      <w:caps/>
      <w:kern w:val="0"/>
    </w:rPr>
  </w:style>
  <w:style w:type="character" w:customStyle="1" w:styleId="Normal12ptChar">
    <w:name w:val="Normal + 12 pt Char"/>
    <w:link w:val="Normal12pt"/>
    <w:rsid w:val="00E01B28"/>
    <w:rPr>
      <w:rFonts w:ascii="Times New Roman" w:eastAsia="Times New Roman" w:hAnsi="Times New Roman" w:cs="Times New Roman"/>
      <w:b/>
      <w:caps/>
      <w:sz w:val="24"/>
      <w:szCs w:val="24"/>
      <w:lang w:eastAsia="bg-BG"/>
    </w:rPr>
  </w:style>
  <w:style w:type="character" w:styleId="Strong">
    <w:name w:val="Strong"/>
    <w:qFormat/>
    <w:rsid w:val="00E01B28"/>
    <w:rPr>
      <w:rFonts w:cs="Times New Roman"/>
      <w:b/>
      <w:bC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
    <w:basedOn w:val="Normal"/>
    <w:link w:val="FootnoteTextChar"/>
    <w:rsid w:val="00E01B28"/>
    <w:pPr>
      <w:widowControl/>
      <w:overflowPunct/>
      <w:adjustRightInd/>
    </w:pPr>
    <w:rPr>
      <w:rFonts w:eastAsia="Times New Roman"/>
      <w:kern w:val="0"/>
      <w:sz w:val="20"/>
      <w:szCs w:val="20"/>
      <w:lang w:val="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rsid w:val="00E01B28"/>
    <w:rPr>
      <w:rFonts w:ascii="Times New Roman" w:eastAsia="Times New Roman" w:hAnsi="Times New Roman" w:cs="Times New Roman"/>
      <w:sz w:val="20"/>
      <w:szCs w:val="20"/>
      <w:lang w:val="en-US" w:eastAsia="bg-BG"/>
    </w:rPr>
  </w:style>
  <w:style w:type="character" w:styleId="FootnoteReference">
    <w:name w:val="footnote reference"/>
    <w:rsid w:val="00E01B28"/>
    <w:rPr>
      <w:vertAlign w:val="superscript"/>
    </w:rPr>
  </w:style>
  <w:style w:type="character" w:customStyle="1" w:styleId="samedocreference1">
    <w:name w:val="samedocreference1"/>
    <w:rsid w:val="00E01B28"/>
    <w:rPr>
      <w:i w:val="0"/>
      <w:iCs w:val="0"/>
      <w:color w:val="8B0000"/>
      <w:u w:val="single"/>
    </w:rPr>
  </w:style>
  <w:style w:type="character" w:customStyle="1" w:styleId="newdocreference1">
    <w:name w:val="newdocreference1"/>
    <w:rsid w:val="00E01B28"/>
    <w:rPr>
      <w:i w:val="0"/>
      <w:iCs w:val="0"/>
      <w:color w:val="0000FF"/>
      <w:u w:val="single"/>
    </w:rPr>
  </w:style>
  <w:style w:type="paragraph" w:styleId="ListParagraph">
    <w:name w:val="List Paragraph"/>
    <w:basedOn w:val="Normal"/>
    <w:uiPriority w:val="34"/>
    <w:qFormat/>
    <w:rsid w:val="00E01B28"/>
    <w:pPr>
      <w:widowControl/>
      <w:overflowPunct/>
      <w:adjustRightInd/>
      <w:ind w:left="720"/>
      <w:contextualSpacing/>
    </w:pPr>
    <w:rPr>
      <w:rFonts w:eastAsia="Times New Roman"/>
      <w:kern w:val="0"/>
    </w:rPr>
  </w:style>
  <w:style w:type="paragraph" w:customStyle="1" w:styleId="style1">
    <w:name w:val="style1"/>
    <w:basedOn w:val="Normal"/>
    <w:rsid w:val="00E01B28"/>
    <w:pPr>
      <w:widowControl/>
      <w:overflowPunct/>
      <w:adjustRightInd/>
      <w:jc w:val="center"/>
    </w:pPr>
    <w:rPr>
      <w:rFonts w:eastAsia="Times New Roman"/>
      <w:b/>
      <w:bCs/>
      <w:kern w:val="0"/>
      <w:sz w:val="26"/>
      <w:szCs w:val="26"/>
    </w:rPr>
  </w:style>
  <w:style w:type="paragraph" w:styleId="BodyText">
    <w:name w:val="Body Text"/>
    <w:basedOn w:val="Normal"/>
    <w:link w:val="BodyTextChar"/>
    <w:rsid w:val="00E01B28"/>
    <w:pPr>
      <w:widowControl/>
      <w:overflowPunct/>
      <w:adjustRightInd/>
      <w:spacing w:after="120"/>
    </w:pPr>
    <w:rPr>
      <w:rFonts w:eastAsia="Times New Roman"/>
      <w:kern w:val="0"/>
      <w:lang w:eastAsia="en-US"/>
    </w:rPr>
  </w:style>
  <w:style w:type="character" w:customStyle="1" w:styleId="BodyTextChar">
    <w:name w:val="Body Text Char"/>
    <w:basedOn w:val="DefaultParagraphFont"/>
    <w:link w:val="BodyText"/>
    <w:rsid w:val="00E01B2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053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37A"/>
    <w:rPr>
      <w:rFonts w:ascii="Segoe UI" w:eastAsiaTheme="minorEastAsia" w:hAnsi="Segoe UI" w:cs="Segoe UI"/>
      <w:kern w:val="28"/>
      <w:sz w:val="18"/>
      <w:szCs w:val="18"/>
      <w:lang w:eastAsia="bg-BG"/>
    </w:rPr>
  </w:style>
  <w:style w:type="paragraph" w:styleId="BodyTextIndent2">
    <w:name w:val="Body Text Indent 2"/>
    <w:basedOn w:val="Normal"/>
    <w:link w:val="BodyTextIndent2Char"/>
    <w:uiPriority w:val="99"/>
    <w:semiHidden/>
    <w:unhideWhenUsed/>
    <w:rsid w:val="00616F90"/>
    <w:pPr>
      <w:spacing w:after="120" w:line="480" w:lineRule="auto"/>
      <w:ind w:left="283"/>
    </w:pPr>
  </w:style>
  <w:style w:type="character" w:customStyle="1" w:styleId="BodyTextIndent2Char">
    <w:name w:val="Body Text Indent 2 Char"/>
    <w:basedOn w:val="DefaultParagraphFont"/>
    <w:link w:val="BodyTextIndent2"/>
    <w:uiPriority w:val="99"/>
    <w:semiHidden/>
    <w:rsid w:val="00616F90"/>
    <w:rPr>
      <w:rFonts w:ascii="Times New Roman" w:eastAsiaTheme="minorEastAsia" w:hAnsi="Times New Roman" w:cs="Times New Roman"/>
      <w:kern w:val="28"/>
      <w:sz w:val="24"/>
      <w:szCs w:val="24"/>
      <w:lang w:eastAsia="bg-BG"/>
    </w:rPr>
  </w:style>
  <w:style w:type="paragraph" w:customStyle="1" w:styleId="Char">
    <w:name w:val="Char"/>
    <w:basedOn w:val="Normal"/>
    <w:rsid w:val="00281C3E"/>
    <w:pPr>
      <w:widowControl/>
      <w:tabs>
        <w:tab w:val="left" w:pos="709"/>
      </w:tabs>
      <w:overflowPunct/>
      <w:adjustRightInd/>
    </w:pPr>
    <w:rPr>
      <w:rFonts w:ascii="Tahoma" w:eastAsia="Times New Roman" w:hAnsi="Tahoma"/>
      <w:kern w:val="0"/>
      <w:lang w:val="pl-PL" w:eastAsia="pl-PL"/>
    </w:rPr>
  </w:style>
  <w:style w:type="character" w:styleId="Hyperlink">
    <w:name w:val="Hyperlink"/>
    <w:basedOn w:val="DefaultParagraphFont"/>
    <w:uiPriority w:val="99"/>
    <w:unhideWhenUsed/>
    <w:rsid w:val="001D73D4"/>
    <w:rPr>
      <w:color w:val="0563C1" w:themeColor="hyperlink"/>
      <w:u w:val="single"/>
    </w:rPr>
  </w:style>
  <w:style w:type="character" w:styleId="FollowedHyperlink">
    <w:name w:val="FollowedHyperlink"/>
    <w:basedOn w:val="DefaultParagraphFont"/>
    <w:uiPriority w:val="99"/>
    <w:semiHidden/>
    <w:unhideWhenUsed/>
    <w:rsid w:val="001D73D4"/>
    <w:rPr>
      <w:color w:val="954F72" w:themeColor="followedHyperlink"/>
      <w:u w:val="single"/>
    </w:rPr>
  </w:style>
  <w:style w:type="character" w:styleId="CommentReference">
    <w:name w:val="annotation reference"/>
    <w:basedOn w:val="DefaultParagraphFont"/>
    <w:uiPriority w:val="99"/>
    <w:semiHidden/>
    <w:unhideWhenUsed/>
    <w:rsid w:val="00DE4974"/>
    <w:rPr>
      <w:sz w:val="16"/>
      <w:szCs w:val="16"/>
    </w:rPr>
  </w:style>
  <w:style w:type="paragraph" w:styleId="CommentText">
    <w:name w:val="annotation text"/>
    <w:basedOn w:val="Normal"/>
    <w:link w:val="CommentTextChar"/>
    <w:uiPriority w:val="99"/>
    <w:semiHidden/>
    <w:unhideWhenUsed/>
    <w:rsid w:val="00DE4974"/>
    <w:rPr>
      <w:sz w:val="20"/>
      <w:szCs w:val="20"/>
    </w:rPr>
  </w:style>
  <w:style w:type="character" w:customStyle="1" w:styleId="CommentTextChar">
    <w:name w:val="Comment Text Char"/>
    <w:basedOn w:val="DefaultParagraphFont"/>
    <w:link w:val="CommentText"/>
    <w:uiPriority w:val="99"/>
    <w:semiHidden/>
    <w:rsid w:val="00DE4974"/>
    <w:rPr>
      <w:rFonts w:ascii="Times New Roman" w:eastAsiaTheme="minorEastAsia" w:hAnsi="Times New Roman" w:cs="Times New Roman"/>
      <w:kern w:val="28"/>
      <w:sz w:val="20"/>
      <w:szCs w:val="20"/>
      <w:lang w:eastAsia="bg-BG"/>
    </w:rPr>
  </w:style>
  <w:style w:type="paragraph" w:styleId="CommentSubject">
    <w:name w:val="annotation subject"/>
    <w:basedOn w:val="CommentText"/>
    <w:next w:val="CommentText"/>
    <w:link w:val="CommentSubjectChar"/>
    <w:uiPriority w:val="99"/>
    <w:semiHidden/>
    <w:unhideWhenUsed/>
    <w:rsid w:val="00DE4974"/>
    <w:rPr>
      <w:b/>
      <w:bCs/>
    </w:rPr>
  </w:style>
  <w:style w:type="character" w:customStyle="1" w:styleId="CommentSubjectChar">
    <w:name w:val="Comment Subject Char"/>
    <w:basedOn w:val="CommentTextChar"/>
    <w:link w:val="CommentSubject"/>
    <w:uiPriority w:val="99"/>
    <w:semiHidden/>
    <w:rsid w:val="00DE4974"/>
    <w:rPr>
      <w:rFonts w:ascii="Times New Roman" w:eastAsiaTheme="minorEastAsia" w:hAnsi="Times New Roman" w:cs="Times New Roman"/>
      <w:b/>
      <w:bCs/>
      <w:kern w:val="28"/>
      <w:sz w:val="20"/>
      <w:szCs w:val="20"/>
      <w:lang w:eastAsia="bg-BG"/>
    </w:rPr>
  </w:style>
  <w:style w:type="character" w:customStyle="1" w:styleId="Heading1Char">
    <w:name w:val="Heading 1 Char"/>
    <w:basedOn w:val="DefaultParagraphFont"/>
    <w:link w:val="Heading1"/>
    <w:uiPriority w:val="9"/>
    <w:rsid w:val="00E11716"/>
    <w:rPr>
      <w:rFonts w:ascii="Calibri Light" w:eastAsia="Times New Roman" w:hAnsi="Calibri Light" w:cs="Times New Roman"/>
      <w:b/>
      <w:bCs/>
      <w:color w:val="2E74B5"/>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3" Type="http://schemas.openxmlformats.org/officeDocument/2006/relationships/settings" Target="settings.xml"/><Relationship Id="rId7" Type="http://schemas.openxmlformats.org/officeDocument/2006/relationships/hyperlink" Target="http://www.bnb.bg/AboutUs/AUPublicProcurements/AUPPList/PP_01224-2017-0023_B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eb.apis.bg/p.php?i=27524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5100</Words>
  <Characters>29072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2017-04-27T10:21:00Z</dcterms:created>
  <dcterms:modified xsi:type="dcterms:W3CDTF">2017-08-24T13:38:00Z</dcterms:modified>
</cp:coreProperties>
</file>